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468AC" w14:textId="77777777" w:rsidR="005823D1" w:rsidRDefault="005823D1" w:rsidP="005823D1">
      <w:pPr>
        <w:pStyle w:val="Heading1"/>
        <w:tabs>
          <w:tab w:val="left" w:pos="4095"/>
        </w:tabs>
        <w:ind w:left="-1418"/>
      </w:pPr>
      <w:bookmarkStart w:id="0" w:name="_Toc510585233"/>
    </w:p>
    <w:p w14:paraId="5B1468AD" w14:textId="77777777" w:rsidR="005823D1" w:rsidRDefault="005823D1" w:rsidP="005823D1"/>
    <w:p w14:paraId="5B1468AE" w14:textId="77777777" w:rsidR="005823D1" w:rsidRDefault="00135B2B" w:rsidP="00135B2B">
      <w:pPr>
        <w:tabs>
          <w:tab w:val="left" w:pos="7290"/>
        </w:tabs>
      </w:pPr>
      <w:r>
        <w:tab/>
      </w:r>
    </w:p>
    <w:sdt>
      <w:sdtPr>
        <w:rPr>
          <w:sz w:val="48"/>
          <w:szCs w:val="60"/>
        </w:rPr>
        <w:alias w:val="Report Title"/>
        <w:tag w:val="DT_Report_Title"/>
        <w:id w:val="1877429593"/>
        <w:lock w:val="sdtLocked"/>
        <w:placeholder>
          <w:docPart w:val="3B7B5B2C66A449238622173D391AD44B"/>
        </w:placeholder>
      </w:sdtPr>
      <w:sdtEndPr/>
      <w:sdtContent>
        <w:p w14:paraId="5B1468AF" w14:textId="13FC29C6" w:rsidR="005823D1" w:rsidRPr="00C223D4" w:rsidRDefault="00000C72" w:rsidP="005823D1">
          <w:pPr>
            <w:jc w:val="center"/>
            <w:rPr>
              <w:sz w:val="48"/>
              <w:szCs w:val="60"/>
            </w:rPr>
          </w:pPr>
          <w:r>
            <w:rPr>
              <w:sz w:val="48"/>
              <w:szCs w:val="60"/>
            </w:rPr>
            <w:t xml:space="preserve">Review Process Summary – Develop </w:t>
          </w:r>
          <w:r w:rsidR="00DB6B51">
            <w:rPr>
              <w:sz w:val="48"/>
              <w:szCs w:val="60"/>
            </w:rPr>
            <w:t xml:space="preserve">Work </w:t>
          </w:r>
          <w:r>
            <w:rPr>
              <w:sz w:val="48"/>
              <w:szCs w:val="60"/>
            </w:rPr>
            <w:t>Health and Safety R</w:t>
          </w:r>
          <w:r w:rsidR="00DB6B51">
            <w:rPr>
              <w:sz w:val="48"/>
              <w:szCs w:val="60"/>
            </w:rPr>
            <w:t>e</w:t>
          </w:r>
          <w:r>
            <w:rPr>
              <w:sz w:val="48"/>
              <w:szCs w:val="60"/>
            </w:rPr>
            <w:t>gulations for Western Australia</w:t>
          </w:r>
        </w:p>
      </w:sdtContent>
    </w:sdt>
    <w:p w14:paraId="5B1468B3" w14:textId="31B1525A" w:rsidR="005823D1" w:rsidRPr="003140A4" w:rsidRDefault="005823D1" w:rsidP="001F7357">
      <w:pPr>
        <w:rPr>
          <w:sz w:val="32"/>
          <w:szCs w:val="32"/>
        </w:rPr>
      </w:pPr>
    </w:p>
    <w:p w14:paraId="5B1468B4" w14:textId="77777777" w:rsidR="005823D1" w:rsidRPr="0065203B" w:rsidRDefault="005823D1" w:rsidP="005823D1">
      <w:pPr>
        <w:ind w:left="-1418"/>
      </w:pPr>
    </w:p>
    <w:p w14:paraId="5B1468B5" w14:textId="77777777" w:rsidR="005823D1" w:rsidRPr="0065203B" w:rsidRDefault="005823D1" w:rsidP="005823D1">
      <w:pPr>
        <w:ind w:left="-1418"/>
        <w:rPr>
          <w:vanish/>
          <w:sz w:val="2"/>
          <w:szCs w:val="2"/>
        </w:rPr>
      </w:pPr>
      <w:r w:rsidRPr="0065203B">
        <w:rPr>
          <w:vanish/>
          <w:sz w:val="2"/>
          <w:szCs w:val="2"/>
        </w:rPr>
        <w:t xml:space="preserve"> </w:t>
      </w:r>
    </w:p>
    <w:p w14:paraId="5B1468B6" w14:textId="77777777" w:rsidR="005823D1" w:rsidRPr="0065203B" w:rsidRDefault="005823D1" w:rsidP="005823D1">
      <w:pPr>
        <w:ind w:left="-1418"/>
      </w:pPr>
    </w:p>
    <w:p w14:paraId="5B1468B7" w14:textId="77777777" w:rsidR="005823D1" w:rsidRDefault="005823D1" w:rsidP="005823D1">
      <w:pPr>
        <w:rPr>
          <w:b/>
          <w:sz w:val="32"/>
          <w:szCs w:val="32"/>
        </w:rPr>
        <w:sectPr w:rsidR="005823D1" w:rsidSect="00AD7FB4">
          <w:headerReference w:type="even" r:id="rId12"/>
          <w:headerReference w:type="default" r:id="rId13"/>
          <w:footerReference w:type="even" r:id="rId14"/>
          <w:footerReference w:type="default" r:id="rId15"/>
          <w:headerReference w:type="first" r:id="rId16"/>
          <w:footerReference w:type="first" r:id="rId17"/>
          <w:pgSz w:w="11907" w:h="16840" w:code="9"/>
          <w:pgMar w:top="2438" w:right="567" w:bottom="1701" w:left="567" w:header="567" w:footer="0" w:gutter="0"/>
          <w:pgNumType w:start="1"/>
          <w:cols w:space="708"/>
          <w:titlePg/>
          <w:docGrid w:linePitch="360"/>
        </w:sectPr>
      </w:pPr>
      <w:bookmarkStart w:id="1" w:name="_Toc234403467"/>
      <w:bookmarkEnd w:id="0"/>
    </w:p>
    <w:bookmarkEnd w:id="1" w:displacedByCustomXml="next"/>
    <w:sdt>
      <w:sdtPr>
        <w:rPr>
          <w:rFonts w:asciiTheme="minorHAnsi" w:eastAsia="Times New Roman" w:hAnsiTheme="minorHAnsi" w:cs="Times New Roman"/>
          <w:b w:val="0"/>
          <w:bCs w:val="0"/>
          <w:sz w:val="24"/>
          <w:szCs w:val="24"/>
          <w:lang w:val="en-AU" w:bidi="ar-SA"/>
        </w:rPr>
        <w:id w:val="-320047496"/>
        <w:docPartObj>
          <w:docPartGallery w:val="Table of Contents"/>
          <w:docPartUnique/>
        </w:docPartObj>
      </w:sdtPr>
      <w:sdtEndPr>
        <w:rPr>
          <w:noProof/>
        </w:rPr>
      </w:sdtEndPr>
      <w:sdtContent>
        <w:p w14:paraId="5B1468B8" w14:textId="77777777" w:rsidR="00332702" w:rsidRDefault="00332702">
          <w:pPr>
            <w:pStyle w:val="TOCHeading"/>
          </w:pPr>
          <w:r>
            <w:t>Contents</w:t>
          </w:r>
        </w:p>
        <w:p w14:paraId="5B1468B9" w14:textId="77777777" w:rsidR="004B244E" w:rsidRDefault="00332702">
          <w:pPr>
            <w:pStyle w:val="TOC1"/>
            <w:rPr>
              <w:rFonts w:eastAsiaTheme="minorEastAsia"/>
              <w:noProof/>
              <w:sz w:val="22"/>
              <w:szCs w:val="22"/>
              <w:lang w:eastAsia="en-AU"/>
            </w:rPr>
          </w:pPr>
          <w:r>
            <w:fldChar w:fldCharType="begin"/>
          </w:r>
          <w:r>
            <w:instrText xml:space="preserve"> TOC \o "1-3" \h \z \u </w:instrText>
          </w:r>
          <w:r>
            <w:fldChar w:fldCharType="separate"/>
          </w:r>
          <w:hyperlink w:anchor="_Toc6908426" w:history="1">
            <w:r w:rsidR="004B244E" w:rsidRPr="00173D9F">
              <w:rPr>
                <w:rStyle w:val="Hyperlink"/>
                <w:noProof/>
              </w:rPr>
              <w:t>1</w:t>
            </w:r>
            <w:r w:rsidR="004B244E">
              <w:rPr>
                <w:rFonts w:eastAsiaTheme="minorEastAsia"/>
                <w:noProof/>
                <w:sz w:val="22"/>
                <w:szCs w:val="22"/>
                <w:lang w:eastAsia="en-AU"/>
              </w:rPr>
              <w:tab/>
            </w:r>
            <w:r w:rsidR="004B244E" w:rsidRPr="00173D9F">
              <w:rPr>
                <w:rStyle w:val="Hyperlink"/>
                <w:noProof/>
              </w:rPr>
              <w:t>Introduction</w:t>
            </w:r>
            <w:r w:rsidR="004B244E">
              <w:rPr>
                <w:noProof/>
                <w:webHidden/>
              </w:rPr>
              <w:tab/>
            </w:r>
            <w:r w:rsidR="004B244E">
              <w:rPr>
                <w:noProof/>
                <w:webHidden/>
              </w:rPr>
              <w:fldChar w:fldCharType="begin"/>
            </w:r>
            <w:r w:rsidR="004B244E">
              <w:rPr>
                <w:noProof/>
                <w:webHidden/>
              </w:rPr>
              <w:instrText xml:space="preserve"> PAGEREF _Toc6908426 \h </w:instrText>
            </w:r>
            <w:r w:rsidR="004B244E">
              <w:rPr>
                <w:noProof/>
                <w:webHidden/>
              </w:rPr>
            </w:r>
            <w:r w:rsidR="004B244E">
              <w:rPr>
                <w:noProof/>
                <w:webHidden/>
              </w:rPr>
              <w:fldChar w:fldCharType="separate"/>
            </w:r>
            <w:r w:rsidR="004B244E">
              <w:rPr>
                <w:noProof/>
                <w:webHidden/>
              </w:rPr>
              <w:t>3</w:t>
            </w:r>
            <w:r w:rsidR="004B244E">
              <w:rPr>
                <w:noProof/>
                <w:webHidden/>
              </w:rPr>
              <w:fldChar w:fldCharType="end"/>
            </w:r>
          </w:hyperlink>
        </w:p>
        <w:p w14:paraId="5B1468BA" w14:textId="77777777" w:rsidR="004B244E" w:rsidRDefault="00D03ECE">
          <w:pPr>
            <w:pStyle w:val="TOC1"/>
            <w:rPr>
              <w:rFonts w:eastAsiaTheme="minorEastAsia"/>
              <w:noProof/>
              <w:sz w:val="22"/>
              <w:szCs w:val="22"/>
              <w:lang w:eastAsia="en-AU"/>
            </w:rPr>
          </w:pPr>
          <w:hyperlink w:anchor="_Toc6908427" w:history="1">
            <w:r w:rsidR="004B244E" w:rsidRPr="00173D9F">
              <w:rPr>
                <w:rStyle w:val="Hyperlink"/>
                <w:noProof/>
              </w:rPr>
              <w:t>2</w:t>
            </w:r>
            <w:r w:rsidR="004B244E">
              <w:rPr>
                <w:rFonts w:eastAsiaTheme="minorEastAsia"/>
                <w:noProof/>
                <w:sz w:val="22"/>
                <w:szCs w:val="22"/>
                <w:lang w:eastAsia="en-AU"/>
              </w:rPr>
              <w:tab/>
            </w:r>
            <w:r w:rsidR="004B244E" w:rsidRPr="00173D9F">
              <w:rPr>
                <w:rStyle w:val="Hyperlink"/>
                <w:noProof/>
              </w:rPr>
              <w:t>Background</w:t>
            </w:r>
            <w:r w:rsidR="004B244E">
              <w:rPr>
                <w:noProof/>
                <w:webHidden/>
              </w:rPr>
              <w:tab/>
            </w:r>
            <w:r w:rsidR="004B244E">
              <w:rPr>
                <w:noProof/>
                <w:webHidden/>
              </w:rPr>
              <w:fldChar w:fldCharType="begin"/>
            </w:r>
            <w:r w:rsidR="004B244E">
              <w:rPr>
                <w:noProof/>
                <w:webHidden/>
              </w:rPr>
              <w:instrText xml:space="preserve"> PAGEREF _Toc6908427 \h </w:instrText>
            </w:r>
            <w:r w:rsidR="004B244E">
              <w:rPr>
                <w:noProof/>
                <w:webHidden/>
              </w:rPr>
            </w:r>
            <w:r w:rsidR="004B244E">
              <w:rPr>
                <w:noProof/>
                <w:webHidden/>
              </w:rPr>
              <w:fldChar w:fldCharType="separate"/>
            </w:r>
            <w:r w:rsidR="004B244E">
              <w:rPr>
                <w:noProof/>
                <w:webHidden/>
              </w:rPr>
              <w:t>3</w:t>
            </w:r>
            <w:r w:rsidR="004B244E">
              <w:rPr>
                <w:noProof/>
                <w:webHidden/>
              </w:rPr>
              <w:fldChar w:fldCharType="end"/>
            </w:r>
          </w:hyperlink>
        </w:p>
        <w:p w14:paraId="5B1468BB" w14:textId="77777777" w:rsidR="004B244E" w:rsidRDefault="00D03ECE">
          <w:pPr>
            <w:pStyle w:val="TOC1"/>
            <w:rPr>
              <w:rFonts w:eastAsiaTheme="minorEastAsia"/>
              <w:noProof/>
              <w:sz w:val="22"/>
              <w:szCs w:val="22"/>
              <w:lang w:eastAsia="en-AU"/>
            </w:rPr>
          </w:pPr>
          <w:hyperlink w:anchor="_Toc6908428" w:history="1">
            <w:r w:rsidR="004B244E" w:rsidRPr="00173D9F">
              <w:rPr>
                <w:rStyle w:val="Hyperlink"/>
                <w:noProof/>
              </w:rPr>
              <w:t>3</w:t>
            </w:r>
            <w:r w:rsidR="004B244E">
              <w:rPr>
                <w:rFonts w:eastAsiaTheme="minorEastAsia"/>
                <w:noProof/>
                <w:sz w:val="22"/>
                <w:szCs w:val="22"/>
                <w:lang w:eastAsia="en-AU"/>
              </w:rPr>
              <w:tab/>
            </w:r>
            <w:r w:rsidR="004B244E" w:rsidRPr="00173D9F">
              <w:rPr>
                <w:rStyle w:val="Hyperlink"/>
                <w:noProof/>
              </w:rPr>
              <w:t>Proposal</w:t>
            </w:r>
            <w:r w:rsidR="004B244E">
              <w:rPr>
                <w:noProof/>
                <w:webHidden/>
              </w:rPr>
              <w:tab/>
            </w:r>
            <w:r w:rsidR="004B244E">
              <w:rPr>
                <w:noProof/>
                <w:webHidden/>
              </w:rPr>
              <w:fldChar w:fldCharType="begin"/>
            </w:r>
            <w:r w:rsidR="004B244E">
              <w:rPr>
                <w:noProof/>
                <w:webHidden/>
              </w:rPr>
              <w:instrText xml:space="preserve"> PAGEREF _Toc6908428 \h </w:instrText>
            </w:r>
            <w:r w:rsidR="004B244E">
              <w:rPr>
                <w:noProof/>
                <w:webHidden/>
              </w:rPr>
            </w:r>
            <w:r w:rsidR="004B244E">
              <w:rPr>
                <w:noProof/>
                <w:webHidden/>
              </w:rPr>
              <w:fldChar w:fldCharType="separate"/>
            </w:r>
            <w:r w:rsidR="004B244E">
              <w:rPr>
                <w:noProof/>
                <w:webHidden/>
              </w:rPr>
              <w:t>3</w:t>
            </w:r>
            <w:r w:rsidR="004B244E">
              <w:rPr>
                <w:noProof/>
                <w:webHidden/>
              </w:rPr>
              <w:fldChar w:fldCharType="end"/>
            </w:r>
          </w:hyperlink>
        </w:p>
        <w:p w14:paraId="5B1468BC" w14:textId="77777777" w:rsidR="004B244E" w:rsidRDefault="00D03ECE">
          <w:pPr>
            <w:pStyle w:val="TOC2"/>
            <w:rPr>
              <w:rFonts w:eastAsiaTheme="minorEastAsia"/>
              <w:noProof/>
              <w:sz w:val="22"/>
              <w:szCs w:val="22"/>
              <w:lang w:eastAsia="en-AU"/>
            </w:rPr>
          </w:pPr>
          <w:hyperlink w:anchor="_Toc6908429" w:history="1">
            <w:r w:rsidR="004B244E" w:rsidRPr="00173D9F">
              <w:rPr>
                <w:rStyle w:val="Hyperlink"/>
                <w:noProof/>
              </w:rPr>
              <w:t>Three sets of WHS regulations</w:t>
            </w:r>
            <w:r w:rsidR="004B244E">
              <w:rPr>
                <w:noProof/>
                <w:webHidden/>
              </w:rPr>
              <w:tab/>
            </w:r>
            <w:r w:rsidR="004B244E">
              <w:rPr>
                <w:noProof/>
                <w:webHidden/>
              </w:rPr>
              <w:fldChar w:fldCharType="begin"/>
            </w:r>
            <w:r w:rsidR="004B244E">
              <w:rPr>
                <w:noProof/>
                <w:webHidden/>
              </w:rPr>
              <w:instrText xml:space="preserve"> PAGEREF _Toc6908429 \h </w:instrText>
            </w:r>
            <w:r w:rsidR="004B244E">
              <w:rPr>
                <w:noProof/>
                <w:webHidden/>
              </w:rPr>
            </w:r>
            <w:r w:rsidR="004B244E">
              <w:rPr>
                <w:noProof/>
                <w:webHidden/>
              </w:rPr>
              <w:fldChar w:fldCharType="separate"/>
            </w:r>
            <w:r w:rsidR="004B244E">
              <w:rPr>
                <w:noProof/>
                <w:webHidden/>
              </w:rPr>
              <w:t>4</w:t>
            </w:r>
            <w:r w:rsidR="004B244E">
              <w:rPr>
                <w:noProof/>
                <w:webHidden/>
              </w:rPr>
              <w:fldChar w:fldCharType="end"/>
            </w:r>
          </w:hyperlink>
        </w:p>
        <w:p w14:paraId="5B1468BD" w14:textId="77777777" w:rsidR="004B244E" w:rsidRDefault="00D03ECE">
          <w:pPr>
            <w:pStyle w:val="TOC2"/>
            <w:rPr>
              <w:rFonts w:eastAsiaTheme="minorEastAsia"/>
              <w:noProof/>
              <w:sz w:val="22"/>
              <w:szCs w:val="22"/>
              <w:lang w:eastAsia="en-AU"/>
            </w:rPr>
          </w:pPr>
          <w:hyperlink w:anchor="_Toc6908430" w:history="1">
            <w:r w:rsidR="004B244E" w:rsidRPr="00173D9F">
              <w:rPr>
                <w:rStyle w:val="Hyperlink"/>
                <w:noProof/>
              </w:rPr>
              <w:t>Dangerous goods and major hazard facilities</w:t>
            </w:r>
            <w:r w:rsidR="004B244E">
              <w:rPr>
                <w:noProof/>
                <w:webHidden/>
              </w:rPr>
              <w:tab/>
            </w:r>
            <w:r w:rsidR="004B244E">
              <w:rPr>
                <w:noProof/>
                <w:webHidden/>
              </w:rPr>
              <w:fldChar w:fldCharType="begin"/>
            </w:r>
            <w:r w:rsidR="004B244E">
              <w:rPr>
                <w:noProof/>
                <w:webHidden/>
              </w:rPr>
              <w:instrText xml:space="preserve"> PAGEREF _Toc6908430 \h </w:instrText>
            </w:r>
            <w:r w:rsidR="004B244E">
              <w:rPr>
                <w:noProof/>
                <w:webHidden/>
              </w:rPr>
            </w:r>
            <w:r w:rsidR="004B244E">
              <w:rPr>
                <w:noProof/>
                <w:webHidden/>
              </w:rPr>
              <w:fldChar w:fldCharType="separate"/>
            </w:r>
            <w:r w:rsidR="004B244E">
              <w:rPr>
                <w:noProof/>
                <w:webHidden/>
              </w:rPr>
              <w:t>5</w:t>
            </w:r>
            <w:r w:rsidR="004B244E">
              <w:rPr>
                <w:noProof/>
                <w:webHidden/>
              </w:rPr>
              <w:fldChar w:fldCharType="end"/>
            </w:r>
          </w:hyperlink>
        </w:p>
        <w:p w14:paraId="5B1468BE" w14:textId="77777777" w:rsidR="004B244E" w:rsidRDefault="00D03ECE">
          <w:pPr>
            <w:pStyle w:val="TOC2"/>
            <w:rPr>
              <w:rFonts w:eastAsiaTheme="minorEastAsia"/>
              <w:noProof/>
              <w:sz w:val="22"/>
              <w:szCs w:val="22"/>
              <w:lang w:eastAsia="en-AU"/>
            </w:rPr>
          </w:pPr>
          <w:hyperlink w:anchor="_Toc6908431" w:history="1">
            <w:r w:rsidR="004B244E" w:rsidRPr="00173D9F">
              <w:rPr>
                <w:rStyle w:val="Hyperlink"/>
                <w:noProof/>
              </w:rPr>
              <w:t>Diagrams of the structure for the WHS regulations</w:t>
            </w:r>
            <w:r w:rsidR="004B244E">
              <w:rPr>
                <w:noProof/>
                <w:webHidden/>
              </w:rPr>
              <w:tab/>
            </w:r>
            <w:r w:rsidR="004B244E">
              <w:rPr>
                <w:noProof/>
                <w:webHidden/>
              </w:rPr>
              <w:fldChar w:fldCharType="begin"/>
            </w:r>
            <w:r w:rsidR="004B244E">
              <w:rPr>
                <w:noProof/>
                <w:webHidden/>
              </w:rPr>
              <w:instrText xml:space="preserve"> PAGEREF _Toc6908431 \h </w:instrText>
            </w:r>
            <w:r w:rsidR="004B244E">
              <w:rPr>
                <w:noProof/>
                <w:webHidden/>
              </w:rPr>
            </w:r>
            <w:r w:rsidR="004B244E">
              <w:rPr>
                <w:noProof/>
                <w:webHidden/>
              </w:rPr>
              <w:fldChar w:fldCharType="separate"/>
            </w:r>
            <w:r w:rsidR="004B244E">
              <w:rPr>
                <w:noProof/>
                <w:webHidden/>
              </w:rPr>
              <w:t>6</w:t>
            </w:r>
            <w:r w:rsidR="004B244E">
              <w:rPr>
                <w:noProof/>
                <w:webHidden/>
              </w:rPr>
              <w:fldChar w:fldCharType="end"/>
            </w:r>
          </w:hyperlink>
        </w:p>
        <w:p w14:paraId="5B1468BF" w14:textId="77777777" w:rsidR="004B244E" w:rsidRDefault="00D03ECE">
          <w:pPr>
            <w:pStyle w:val="TOC1"/>
            <w:rPr>
              <w:rFonts w:eastAsiaTheme="minorEastAsia"/>
              <w:noProof/>
              <w:sz w:val="22"/>
              <w:szCs w:val="22"/>
              <w:lang w:eastAsia="en-AU"/>
            </w:rPr>
          </w:pPr>
          <w:hyperlink w:anchor="_Toc6908432" w:history="1">
            <w:r w:rsidR="004B244E" w:rsidRPr="00173D9F">
              <w:rPr>
                <w:rStyle w:val="Hyperlink"/>
                <w:noProof/>
              </w:rPr>
              <w:t>4</w:t>
            </w:r>
            <w:r w:rsidR="004B244E">
              <w:rPr>
                <w:rFonts w:eastAsiaTheme="minorEastAsia"/>
                <w:noProof/>
                <w:sz w:val="22"/>
                <w:szCs w:val="22"/>
                <w:lang w:eastAsia="en-AU"/>
              </w:rPr>
              <w:tab/>
            </w:r>
            <w:r w:rsidR="004B244E" w:rsidRPr="00173D9F">
              <w:rPr>
                <w:rStyle w:val="Hyperlink"/>
                <w:noProof/>
              </w:rPr>
              <w:t>December 2018 Review of the national model Work Health and Safety laws – Final Report</w:t>
            </w:r>
            <w:r w:rsidR="004B244E">
              <w:rPr>
                <w:noProof/>
                <w:webHidden/>
              </w:rPr>
              <w:tab/>
            </w:r>
            <w:r w:rsidR="004B244E">
              <w:rPr>
                <w:noProof/>
                <w:webHidden/>
              </w:rPr>
              <w:fldChar w:fldCharType="begin"/>
            </w:r>
            <w:r w:rsidR="004B244E">
              <w:rPr>
                <w:noProof/>
                <w:webHidden/>
              </w:rPr>
              <w:instrText xml:space="preserve"> PAGEREF _Toc6908432 \h </w:instrText>
            </w:r>
            <w:r w:rsidR="004B244E">
              <w:rPr>
                <w:noProof/>
                <w:webHidden/>
              </w:rPr>
            </w:r>
            <w:r w:rsidR="004B244E">
              <w:rPr>
                <w:noProof/>
                <w:webHidden/>
              </w:rPr>
              <w:fldChar w:fldCharType="separate"/>
            </w:r>
            <w:r w:rsidR="004B244E">
              <w:rPr>
                <w:noProof/>
                <w:webHidden/>
              </w:rPr>
              <w:t>7</w:t>
            </w:r>
            <w:r w:rsidR="004B244E">
              <w:rPr>
                <w:noProof/>
                <w:webHidden/>
              </w:rPr>
              <w:fldChar w:fldCharType="end"/>
            </w:r>
          </w:hyperlink>
        </w:p>
        <w:p w14:paraId="5B1468C0" w14:textId="77777777" w:rsidR="004B244E" w:rsidRDefault="00D03ECE">
          <w:pPr>
            <w:pStyle w:val="TOC1"/>
            <w:rPr>
              <w:rFonts w:eastAsiaTheme="minorEastAsia"/>
              <w:noProof/>
              <w:sz w:val="22"/>
              <w:szCs w:val="22"/>
              <w:lang w:eastAsia="en-AU"/>
            </w:rPr>
          </w:pPr>
          <w:hyperlink w:anchor="_Toc6908433" w:history="1">
            <w:r w:rsidR="004B244E" w:rsidRPr="00173D9F">
              <w:rPr>
                <w:rStyle w:val="Hyperlink"/>
                <w:noProof/>
              </w:rPr>
              <w:t>5</w:t>
            </w:r>
            <w:r w:rsidR="004B244E">
              <w:rPr>
                <w:rFonts w:eastAsiaTheme="minorEastAsia"/>
                <w:noProof/>
                <w:sz w:val="22"/>
                <w:szCs w:val="22"/>
                <w:lang w:eastAsia="en-AU"/>
              </w:rPr>
              <w:tab/>
            </w:r>
            <w:r w:rsidR="004B244E" w:rsidRPr="00173D9F">
              <w:rPr>
                <w:rStyle w:val="Hyperlink"/>
                <w:noProof/>
              </w:rPr>
              <w:t>Transition principles</w:t>
            </w:r>
            <w:r w:rsidR="004B244E">
              <w:rPr>
                <w:noProof/>
                <w:webHidden/>
              </w:rPr>
              <w:tab/>
            </w:r>
            <w:r w:rsidR="004B244E">
              <w:rPr>
                <w:noProof/>
                <w:webHidden/>
              </w:rPr>
              <w:fldChar w:fldCharType="begin"/>
            </w:r>
            <w:r w:rsidR="004B244E">
              <w:rPr>
                <w:noProof/>
                <w:webHidden/>
              </w:rPr>
              <w:instrText xml:space="preserve"> PAGEREF _Toc6908433 \h </w:instrText>
            </w:r>
            <w:r w:rsidR="004B244E">
              <w:rPr>
                <w:noProof/>
                <w:webHidden/>
              </w:rPr>
            </w:r>
            <w:r w:rsidR="004B244E">
              <w:rPr>
                <w:noProof/>
                <w:webHidden/>
              </w:rPr>
              <w:fldChar w:fldCharType="separate"/>
            </w:r>
            <w:r w:rsidR="004B244E">
              <w:rPr>
                <w:noProof/>
                <w:webHidden/>
              </w:rPr>
              <w:t>7</w:t>
            </w:r>
            <w:r w:rsidR="004B244E">
              <w:rPr>
                <w:noProof/>
                <w:webHidden/>
              </w:rPr>
              <w:fldChar w:fldCharType="end"/>
            </w:r>
          </w:hyperlink>
        </w:p>
        <w:p w14:paraId="5B1468C1" w14:textId="77777777" w:rsidR="004B244E" w:rsidRDefault="00D03ECE">
          <w:pPr>
            <w:pStyle w:val="TOC1"/>
            <w:rPr>
              <w:rFonts w:eastAsiaTheme="minorEastAsia"/>
              <w:noProof/>
              <w:sz w:val="22"/>
              <w:szCs w:val="22"/>
              <w:lang w:eastAsia="en-AU"/>
            </w:rPr>
          </w:pPr>
          <w:hyperlink w:anchor="_Toc6908434" w:history="1">
            <w:r w:rsidR="004B244E" w:rsidRPr="00173D9F">
              <w:rPr>
                <w:rStyle w:val="Hyperlink"/>
                <w:noProof/>
              </w:rPr>
              <w:t>6</w:t>
            </w:r>
            <w:r w:rsidR="004B244E">
              <w:rPr>
                <w:rFonts w:eastAsiaTheme="minorEastAsia"/>
                <w:noProof/>
                <w:sz w:val="22"/>
                <w:szCs w:val="22"/>
                <w:lang w:eastAsia="en-AU"/>
              </w:rPr>
              <w:tab/>
            </w:r>
            <w:r w:rsidR="004B244E" w:rsidRPr="00173D9F">
              <w:rPr>
                <w:rStyle w:val="Hyperlink"/>
                <w:noProof/>
              </w:rPr>
              <w:t>Public consultation</w:t>
            </w:r>
            <w:r w:rsidR="004B244E">
              <w:rPr>
                <w:noProof/>
                <w:webHidden/>
              </w:rPr>
              <w:tab/>
            </w:r>
            <w:r w:rsidR="004B244E">
              <w:rPr>
                <w:noProof/>
                <w:webHidden/>
              </w:rPr>
              <w:fldChar w:fldCharType="begin"/>
            </w:r>
            <w:r w:rsidR="004B244E">
              <w:rPr>
                <w:noProof/>
                <w:webHidden/>
              </w:rPr>
              <w:instrText xml:space="preserve"> PAGEREF _Toc6908434 \h </w:instrText>
            </w:r>
            <w:r w:rsidR="004B244E">
              <w:rPr>
                <w:noProof/>
                <w:webHidden/>
              </w:rPr>
            </w:r>
            <w:r w:rsidR="004B244E">
              <w:rPr>
                <w:noProof/>
                <w:webHidden/>
              </w:rPr>
              <w:fldChar w:fldCharType="separate"/>
            </w:r>
            <w:r w:rsidR="004B244E">
              <w:rPr>
                <w:noProof/>
                <w:webHidden/>
              </w:rPr>
              <w:t>8</w:t>
            </w:r>
            <w:r w:rsidR="004B244E">
              <w:rPr>
                <w:noProof/>
                <w:webHidden/>
              </w:rPr>
              <w:fldChar w:fldCharType="end"/>
            </w:r>
          </w:hyperlink>
        </w:p>
        <w:p w14:paraId="5B1468C2" w14:textId="77777777" w:rsidR="004B244E" w:rsidRDefault="00D03ECE">
          <w:pPr>
            <w:pStyle w:val="TOC2"/>
            <w:rPr>
              <w:rFonts w:eastAsiaTheme="minorEastAsia"/>
              <w:noProof/>
              <w:sz w:val="22"/>
              <w:szCs w:val="22"/>
              <w:lang w:eastAsia="en-AU"/>
            </w:rPr>
          </w:pPr>
          <w:hyperlink w:anchor="_Toc6908435" w:history="1">
            <w:r w:rsidR="004B244E" w:rsidRPr="00173D9F">
              <w:rPr>
                <w:rStyle w:val="Hyperlink"/>
                <w:noProof/>
              </w:rPr>
              <w:t>Submissions publicly available</w:t>
            </w:r>
            <w:r w:rsidR="004B244E">
              <w:rPr>
                <w:noProof/>
                <w:webHidden/>
              </w:rPr>
              <w:tab/>
            </w:r>
            <w:r w:rsidR="004B244E">
              <w:rPr>
                <w:noProof/>
                <w:webHidden/>
              </w:rPr>
              <w:fldChar w:fldCharType="begin"/>
            </w:r>
            <w:r w:rsidR="004B244E">
              <w:rPr>
                <w:noProof/>
                <w:webHidden/>
              </w:rPr>
              <w:instrText xml:space="preserve"> PAGEREF _Toc6908435 \h </w:instrText>
            </w:r>
            <w:r w:rsidR="004B244E">
              <w:rPr>
                <w:noProof/>
                <w:webHidden/>
              </w:rPr>
            </w:r>
            <w:r w:rsidR="004B244E">
              <w:rPr>
                <w:noProof/>
                <w:webHidden/>
              </w:rPr>
              <w:fldChar w:fldCharType="separate"/>
            </w:r>
            <w:r w:rsidR="004B244E">
              <w:rPr>
                <w:noProof/>
                <w:webHidden/>
              </w:rPr>
              <w:t>8</w:t>
            </w:r>
            <w:r w:rsidR="004B244E">
              <w:rPr>
                <w:noProof/>
                <w:webHidden/>
              </w:rPr>
              <w:fldChar w:fldCharType="end"/>
            </w:r>
          </w:hyperlink>
        </w:p>
        <w:p w14:paraId="5B1468C3" w14:textId="77777777" w:rsidR="004B244E" w:rsidRDefault="00D03ECE">
          <w:pPr>
            <w:pStyle w:val="TOC2"/>
            <w:rPr>
              <w:rFonts w:eastAsiaTheme="minorEastAsia"/>
              <w:noProof/>
              <w:sz w:val="22"/>
              <w:szCs w:val="22"/>
              <w:lang w:eastAsia="en-AU"/>
            </w:rPr>
          </w:pPr>
          <w:hyperlink w:anchor="_Toc6908436" w:history="1">
            <w:r w:rsidR="004B244E" w:rsidRPr="00173D9F">
              <w:rPr>
                <w:rStyle w:val="Hyperlink"/>
                <w:noProof/>
              </w:rPr>
              <w:t>Making a submission</w:t>
            </w:r>
            <w:r w:rsidR="004B244E">
              <w:rPr>
                <w:noProof/>
                <w:webHidden/>
              </w:rPr>
              <w:tab/>
            </w:r>
            <w:r w:rsidR="004B244E">
              <w:rPr>
                <w:noProof/>
                <w:webHidden/>
              </w:rPr>
              <w:fldChar w:fldCharType="begin"/>
            </w:r>
            <w:r w:rsidR="004B244E">
              <w:rPr>
                <w:noProof/>
                <w:webHidden/>
              </w:rPr>
              <w:instrText xml:space="preserve"> PAGEREF _Toc6908436 \h </w:instrText>
            </w:r>
            <w:r w:rsidR="004B244E">
              <w:rPr>
                <w:noProof/>
                <w:webHidden/>
              </w:rPr>
            </w:r>
            <w:r w:rsidR="004B244E">
              <w:rPr>
                <w:noProof/>
                <w:webHidden/>
              </w:rPr>
              <w:fldChar w:fldCharType="separate"/>
            </w:r>
            <w:r w:rsidR="004B244E">
              <w:rPr>
                <w:noProof/>
                <w:webHidden/>
              </w:rPr>
              <w:t>8</w:t>
            </w:r>
            <w:r w:rsidR="004B244E">
              <w:rPr>
                <w:noProof/>
                <w:webHidden/>
              </w:rPr>
              <w:fldChar w:fldCharType="end"/>
            </w:r>
          </w:hyperlink>
        </w:p>
        <w:p w14:paraId="5B1468C4" w14:textId="77777777" w:rsidR="004B244E" w:rsidRDefault="00D03ECE">
          <w:pPr>
            <w:pStyle w:val="TOC2"/>
            <w:rPr>
              <w:rFonts w:eastAsiaTheme="minorEastAsia"/>
              <w:noProof/>
              <w:sz w:val="22"/>
              <w:szCs w:val="22"/>
              <w:lang w:eastAsia="en-AU"/>
            </w:rPr>
          </w:pPr>
          <w:hyperlink w:anchor="_Toc6908437" w:history="1">
            <w:r w:rsidR="004B244E" w:rsidRPr="00173D9F">
              <w:rPr>
                <w:rStyle w:val="Hyperlink"/>
                <w:noProof/>
              </w:rPr>
              <w:t>Submission requirements</w:t>
            </w:r>
            <w:r w:rsidR="004B244E">
              <w:rPr>
                <w:noProof/>
                <w:webHidden/>
              </w:rPr>
              <w:tab/>
            </w:r>
            <w:r w:rsidR="004B244E">
              <w:rPr>
                <w:noProof/>
                <w:webHidden/>
              </w:rPr>
              <w:fldChar w:fldCharType="begin"/>
            </w:r>
            <w:r w:rsidR="004B244E">
              <w:rPr>
                <w:noProof/>
                <w:webHidden/>
              </w:rPr>
              <w:instrText xml:space="preserve"> PAGEREF _Toc6908437 \h </w:instrText>
            </w:r>
            <w:r w:rsidR="004B244E">
              <w:rPr>
                <w:noProof/>
                <w:webHidden/>
              </w:rPr>
            </w:r>
            <w:r w:rsidR="004B244E">
              <w:rPr>
                <w:noProof/>
                <w:webHidden/>
              </w:rPr>
              <w:fldChar w:fldCharType="separate"/>
            </w:r>
            <w:r w:rsidR="004B244E">
              <w:rPr>
                <w:noProof/>
                <w:webHidden/>
              </w:rPr>
              <w:t>9</w:t>
            </w:r>
            <w:r w:rsidR="004B244E">
              <w:rPr>
                <w:noProof/>
                <w:webHidden/>
              </w:rPr>
              <w:fldChar w:fldCharType="end"/>
            </w:r>
          </w:hyperlink>
        </w:p>
        <w:p w14:paraId="5B1468C5" w14:textId="77777777" w:rsidR="004B244E" w:rsidRDefault="00D03ECE">
          <w:pPr>
            <w:pStyle w:val="TOC1"/>
            <w:rPr>
              <w:rFonts w:eastAsiaTheme="minorEastAsia"/>
              <w:noProof/>
              <w:sz w:val="22"/>
              <w:szCs w:val="22"/>
              <w:lang w:eastAsia="en-AU"/>
            </w:rPr>
          </w:pPr>
          <w:hyperlink w:anchor="_Toc6908438" w:history="1">
            <w:r w:rsidR="004B244E" w:rsidRPr="00173D9F">
              <w:rPr>
                <w:rStyle w:val="Hyperlink"/>
                <w:noProof/>
              </w:rPr>
              <w:t>7</w:t>
            </w:r>
            <w:r w:rsidR="004B244E">
              <w:rPr>
                <w:rFonts w:eastAsiaTheme="minorEastAsia"/>
                <w:noProof/>
                <w:sz w:val="22"/>
                <w:szCs w:val="22"/>
                <w:lang w:eastAsia="en-AU"/>
              </w:rPr>
              <w:tab/>
            </w:r>
            <w:r w:rsidR="004B244E" w:rsidRPr="00173D9F">
              <w:rPr>
                <w:rStyle w:val="Hyperlink"/>
                <w:noProof/>
              </w:rPr>
              <w:t>Next steps - After the public consultation period ends</w:t>
            </w:r>
            <w:r w:rsidR="004B244E">
              <w:rPr>
                <w:noProof/>
                <w:webHidden/>
              </w:rPr>
              <w:tab/>
            </w:r>
            <w:r w:rsidR="004B244E">
              <w:rPr>
                <w:noProof/>
                <w:webHidden/>
              </w:rPr>
              <w:fldChar w:fldCharType="begin"/>
            </w:r>
            <w:r w:rsidR="004B244E">
              <w:rPr>
                <w:noProof/>
                <w:webHidden/>
              </w:rPr>
              <w:instrText xml:space="preserve"> PAGEREF _Toc6908438 \h </w:instrText>
            </w:r>
            <w:r w:rsidR="004B244E">
              <w:rPr>
                <w:noProof/>
                <w:webHidden/>
              </w:rPr>
            </w:r>
            <w:r w:rsidR="004B244E">
              <w:rPr>
                <w:noProof/>
                <w:webHidden/>
              </w:rPr>
              <w:fldChar w:fldCharType="separate"/>
            </w:r>
            <w:r w:rsidR="004B244E">
              <w:rPr>
                <w:noProof/>
                <w:webHidden/>
              </w:rPr>
              <w:t>9</w:t>
            </w:r>
            <w:r w:rsidR="004B244E">
              <w:rPr>
                <w:noProof/>
                <w:webHidden/>
              </w:rPr>
              <w:fldChar w:fldCharType="end"/>
            </w:r>
          </w:hyperlink>
        </w:p>
        <w:p w14:paraId="5B1468C6" w14:textId="77777777" w:rsidR="004B244E" w:rsidRDefault="00D03ECE">
          <w:pPr>
            <w:pStyle w:val="TOC1"/>
            <w:rPr>
              <w:rFonts w:eastAsiaTheme="minorEastAsia"/>
              <w:noProof/>
              <w:sz w:val="22"/>
              <w:szCs w:val="22"/>
              <w:lang w:eastAsia="en-AU"/>
            </w:rPr>
          </w:pPr>
          <w:hyperlink w:anchor="_Toc6908439" w:history="1">
            <w:r w:rsidR="004B244E" w:rsidRPr="00173D9F">
              <w:rPr>
                <w:rStyle w:val="Hyperlink"/>
                <w:noProof/>
              </w:rPr>
              <w:t>8</w:t>
            </w:r>
            <w:r w:rsidR="004B244E">
              <w:rPr>
                <w:rFonts w:eastAsiaTheme="minorEastAsia"/>
                <w:noProof/>
                <w:sz w:val="22"/>
                <w:szCs w:val="22"/>
                <w:lang w:eastAsia="en-AU"/>
              </w:rPr>
              <w:tab/>
            </w:r>
            <w:r w:rsidR="004B244E" w:rsidRPr="00173D9F">
              <w:rPr>
                <w:rStyle w:val="Hyperlink"/>
                <w:noProof/>
              </w:rPr>
              <w:t>List of internet links in the Consultation Package</w:t>
            </w:r>
            <w:r w:rsidR="004B244E">
              <w:rPr>
                <w:noProof/>
                <w:webHidden/>
              </w:rPr>
              <w:tab/>
            </w:r>
            <w:r w:rsidR="004B244E">
              <w:rPr>
                <w:noProof/>
                <w:webHidden/>
              </w:rPr>
              <w:fldChar w:fldCharType="begin"/>
            </w:r>
            <w:r w:rsidR="004B244E">
              <w:rPr>
                <w:noProof/>
                <w:webHidden/>
              </w:rPr>
              <w:instrText xml:space="preserve"> PAGEREF _Toc6908439 \h </w:instrText>
            </w:r>
            <w:r w:rsidR="004B244E">
              <w:rPr>
                <w:noProof/>
                <w:webHidden/>
              </w:rPr>
            </w:r>
            <w:r w:rsidR="004B244E">
              <w:rPr>
                <w:noProof/>
                <w:webHidden/>
              </w:rPr>
              <w:fldChar w:fldCharType="separate"/>
            </w:r>
            <w:r w:rsidR="004B244E">
              <w:rPr>
                <w:noProof/>
                <w:webHidden/>
              </w:rPr>
              <w:t>9</w:t>
            </w:r>
            <w:r w:rsidR="004B244E">
              <w:rPr>
                <w:noProof/>
                <w:webHidden/>
              </w:rPr>
              <w:fldChar w:fldCharType="end"/>
            </w:r>
          </w:hyperlink>
        </w:p>
        <w:p w14:paraId="5B1468C7" w14:textId="77777777" w:rsidR="004B244E" w:rsidRDefault="00D03ECE">
          <w:pPr>
            <w:pStyle w:val="TOC2"/>
            <w:rPr>
              <w:rFonts w:eastAsiaTheme="minorEastAsia"/>
              <w:noProof/>
              <w:sz w:val="22"/>
              <w:szCs w:val="22"/>
              <w:lang w:eastAsia="en-AU"/>
            </w:rPr>
          </w:pPr>
          <w:hyperlink w:anchor="_Toc6908440" w:history="1">
            <w:r w:rsidR="004B244E" w:rsidRPr="00173D9F">
              <w:rPr>
                <w:rStyle w:val="Hyperlink"/>
                <w:noProof/>
              </w:rPr>
              <w:t>WHS regulations applying generally to workplaces</w:t>
            </w:r>
            <w:r w:rsidR="004B244E">
              <w:rPr>
                <w:noProof/>
                <w:webHidden/>
              </w:rPr>
              <w:tab/>
            </w:r>
            <w:r w:rsidR="004B244E">
              <w:rPr>
                <w:noProof/>
                <w:webHidden/>
              </w:rPr>
              <w:fldChar w:fldCharType="begin"/>
            </w:r>
            <w:r w:rsidR="004B244E">
              <w:rPr>
                <w:noProof/>
                <w:webHidden/>
              </w:rPr>
              <w:instrText xml:space="preserve"> PAGEREF _Toc6908440 \h </w:instrText>
            </w:r>
            <w:r w:rsidR="004B244E">
              <w:rPr>
                <w:noProof/>
                <w:webHidden/>
              </w:rPr>
            </w:r>
            <w:r w:rsidR="004B244E">
              <w:rPr>
                <w:noProof/>
                <w:webHidden/>
              </w:rPr>
              <w:fldChar w:fldCharType="separate"/>
            </w:r>
            <w:r w:rsidR="004B244E">
              <w:rPr>
                <w:noProof/>
                <w:webHidden/>
              </w:rPr>
              <w:t>9</w:t>
            </w:r>
            <w:r w:rsidR="004B244E">
              <w:rPr>
                <w:noProof/>
                <w:webHidden/>
              </w:rPr>
              <w:fldChar w:fldCharType="end"/>
            </w:r>
          </w:hyperlink>
        </w:p>
        <w:p w14:paraId="5B1468C8" w14:textId="77777777" w:rsidR="004B244E" w:rsidRDefault="00D03ECE">
          <w:pPr>
            <w:pStyle w:val="TOC2"/>
            <w:rPr>
              <w:rFonts w:eastAsiaTheme="minorEastAsia"/>
              <w:noProof/>
              <w:sz w:val="22"/>
              <w:szCs w:val="22"/>
              <w:lang w:eastAsia="en-AU"/>
            </w:rPr>
          </w:pPr>
          <w:hyperlink w:anchor="_Toc6908441" w:history="1">
            <w:r w:rsidR="004B244E" w:rsidRPr="00173D9F">
              <w:rPr>
                <w:rStyle w:val="Hyperlink"/>
                <w:noProof/>
              </w:rPr>
              <w:t>Mining sector</w:t>
            </w:r>
            <w:r w:rsidR="004B244E">
              <w:rPr>
                <w:noProof/>
                <w:webHidden/>
              </w:rPr>
              <w:tab/>
            </w:r>
            <w:r w:rsidR="004B244E">
              <w:rPr>
                <w:noProof/>
                <w:webHidden/>
              </w:rPr>
              <w:fldChar w:fldCharType="begin"/>
            </w:r>
            <w:r w:rsidR="004B244E">
              <w:rPr>
                <w:noProof/>
                <w:webHidden/>
              </w:rPr>
              <w:instrText xml:space="preserve"> PAGEREF _Toc6908441 \h </w:instrText>
            </w:r>
            <w:r w:rsidR="004B244E">
              <w:rPr>
                <w:noProof/>
                <w:webHidden/>
              </w:rPr>
            </w:r>
            <w:r w:rsidR="004B244E">
              <w:rPr>
                <w:noProof/>
                <w:webHidden/>
              </w:rPr>
              <w:fldChar w:fldCharType="separate"/>
            </w:r>
            <w:r w:rsidR="004B244E">
              <w:rPr>
                <w:noProof/>
                <w:webHidden/>
              </w:rPr>
              <w:t>10</w:t>
            </w:r>
            <w:r w:rsidR="004B244E">
              <w:rPr>
                <w:noProof/>
                <w:webHidden/>
              </w:rPr>
              <w:fldChar w:fldCharType="end"/>
            </w:r>
          </w:hyperlink>
        </w:p>
        <w:p w14:paraId="5B1468C9" w14:textId="77777777" w:rsidR="004B244E" w:rsidRDefault="00D03ECE">
          <w:pPr>
            <w:pStyle w:val="TOC2"/>
            <w:rPr>
              <w:rFonts w:eastAsiaTheme="minorEastAsia"/>
              <w:noProof/>
              <w:sz w:val="22"/>
              <w:szCs w:val="22"/>
              <w:lang w:eastAsia="en-AU"/>
            </w:rPr>
          </w:pPr>
          <w:hyperlink w:anchor="_Toc6908442" w:history="1">
            <w:r w:rsidR="004B244E" w:rsidRPr="00173D9F">
              <w:rPr>
                <w:rStyle w:val="Hyperlink"/>
                <w:noProof/>
              </w:rPr>
              <w:t>Petroleum and Geothermal Energy Operations</w:t>
            </w:r>
            <w:r w:rsidR="004B244E">
              <w:rPr>
                <w:noProof/>
                <w:webHidden/>
              </w:rPr>
              <w:tab/>
            </w:r>
            <w:r w:rsidR="004B244E">
              <w:rPr>
                <w:noProof/>
                <w:webHidden/>
              </w:rPr>
              <w:fldChar w:fldCharType="begin"/>
            </w:r>
            <w:r w:rsidR="004B244E">
              <w:rPr>
                <w:noProof/>
                <w:webHidden/>
              </w:rPr>
              <w:instrText xml:space="preserve"> PAGEREF _Toc6908442 \h </w:instrText>
            </w:r>
            <w:r w:rsidR="004B244E">
              <w:rPr>
                <w:noProof/>
                <w:webHidden/>
              </w:rPr>
            </w:r>
            <w:r w:rsidR="004B244E">
              <w:rPr>
                <w:noProof/>
                <w:webHidden/>
              </w:rPr>
              <w:fldChar w:fldCharType="separate"/>
            </w:r>
            <w:r w:rsidR="004B244E">
              <w:rPr>
                <w:noProof/>
                <w:webHidden/>
              </w:rPr>
              <w:t>10</w:t>
            </w:r>
            <w:r w:rsidR="004B244E">
              <w:rPr>
                <w:noProof/>
                <w:webHidden/>
              </w:rPr>
              <w:fldChar w:fldCharType="end"/>
            </w:r>
          </w:hyperlink>
        </w:p>
        <w:p w14:paraId="5B1468CA" w14:textId="77777777" w:rsidR="00332702" w:rsidRDefault="00332702">
          <w:r>
            <w:rPr>
              <w:b/>
              <w:bCs/>
              <w:noProof/>
            </w:rPr>
            <w:fldChar w:fldCharType="end"/>
          </w:r>
        </w:p>
      </w:sdtContent>
    </w:sdt>
    <w:p w14:paraId="5B1468CB" w14:textId="77777777" w:rsidR="004B244E" w:rsidRDefault="005823D1" w:rsidP="004B244E">
      <w:pPr>
        <w:pStyle w:val="Heading1"/>
      </w:pPr>
      <w:r w:rsidRPr="0065203B">
        <w:br w:type="page"/>
      </w:r>
      <w:bookmarkStart w:id="2" w:name="_Toc4661924"/>
      <w:bookmarkStart w:id="3" w:name="_Toc6908426"/>
      <w:r w:rsidR="004B244E">
        <w:lastRenderedPageBreak/>
        <w:t>1</w:t>
      </w:r>
      <w:r w:rsidR="004B244E">
        <w:tab/>
        <w:t>Introduction</w:t>
      </w:r>
      <w:bookmarkEnd w:id="2"/>
      <w:bookmarkEnd w:id="3"/>
    </w:p>
    <w:p w14:paraId="5B1468CC" w14:textId="12F28DF3" w:rsidR="004B244E" w:rsidRDefault="004B244E" w:rsidP="00624AAD">
      <w:r>
        <w:t xml:space="preserve">This Consultation Package </w:t>
      </w:r>
      <w:r w:rsidRPr="00C72BA0">
        <w:t xml:space="preserve">has been prepared to </w:t>
      </w:r>
      <w:r>
        <w:t xml:space="preserve">facilitate </w:t>
      </w:r>
      <w:r w:rsidRPr="00C72BA0">
        <w:t>consult</w:t>
      </w:r>
      <w:r>
        <w:t>ation</w:t>
      </w:r>
      <w:r w:rsidRPr="00C72BA0">
        <w:t xml:space="preserve"> with stakeholders </w:t>
      </w:r>
      <w:r>
        <w:t xml:space="preserve">in relation the </w:t>
      </w:r>
      <w:r w:rsidRPr="00C72BA0">
        <w:t xml:space="preserve">regulations that will support the proposed </w:t>
      </w:r>
      <w:r w:rsidRPr="005342DA">
        <w:rPr>
          <w:i/>
        </w:rPr>
        <w:t>Work Health and Safety Act</w:t>
      </w:r>
      <w:r w:rsidR="00420EEB">
        <w:rPr>
          <w:i/>
        </w:rPr>
        <w:t xml:space="preserve"> for Western Australia</w:t>
      </w:r>
      <w:r w:rsidRPr="005342DA">
        <w:rPr>
          <w:i/>
        </w:rPr>
        <w:t xml:space="preserve"> </w:t>
      </w:r>
      <w:r w:rsidR="00420EEB" w:rsidRPr="00420EEB">
        <w:t>(</w:t>
      </w:r>
      <w:r w:rsidRPr="00C72BA0">
        <w:t>WHS Act</w:t>
      </w:r>
      <w:r w:rsidR="00420EEB">
        <w:t xml:space="preserve"> (WA))</w:t>
      </w:r>
      <w:r w:rsidRPr="00C72BA0">
        <w:t xml:space="preserve">. The proposed WHS Act </w:t>
      </w:r>
      <w:r w:rsidR="00C82AA0">
        <w:t xml:space="preserve">(WA) </w:t>
      </w:r>
      <w:r w:rsidRPr="00C72BA0">
        <w:t xml:space="preserve">will be applicable to </w:t>
      </w:r>
      <w:r w:rsidR="003A2BEB" w:rsidRPr="00C72BA0">
        <w:t>general</w:t>
      </w:r>
      <w:r w:rsidR="003A2BEB">
        <w:t xml:space="preserve"> </w:t>
      </w:r>
      <w:r>
        <w:t>workplaces</w:t>
      </w:r>
      <w:r w:rsidRPr="00C72BA0">
        <w:t xml:space="preserve">, mining and petroleum/geothermal </w:t>
      </w:r>
      <w:r>
        <w:t xml:space="preserve">operations </w:t>
      </w:r>
      <w:r w:rsidRPr="00C72BA0">
        <w:t xml:space="preserve">industries. Therefore, the proposed regulations will cater for all these industries. The </w:t>
      </w:r>
      <w:r>
        <w:t xml:space="preserve">Consultation Package </w:t>
      </w:r>
      <w:r w:rsidR="00F23DC0" w:rsidRPr="006C2194">
        <w:rPr>
          <w:rFonts w:eastAsiaTheme="majorEastAsia"/>
        </w:rPr>
        <w:t>contains links to relevant documents</w:t>
      </w:r>
      <w:r w:rsidR="00C82AA0">
        <w:rPr>
          <w:rFonts w:eastAsiaTheme="majorEastAsia"/>
        </w:rPr>
        <w:t xml:space="preserve"> and</w:t>
      </w:r>
      <w:r w:rsidR="00F23DC0" w:rsidRPr="00C72BA0">
        <w:t xml:space="preserve"> </w:t>
      </w:r>
      <w:r w:rsidRPr="00C72BA0">
        <w:t>explains the structure and content of the proposed regulations</w:t>
      </w:r>
      <w:r>
        <w:t xml:space="preserve">.  </w:t>
      </w:r>
    </w:p>
    <w:p w14:paraId="5B1468CE" w14:textId="77777777" w:rsidR="004B244E" w:rsidRDefault="004B244E" w:rsidP="004B244E">
      <w:pPr>
        <w:pStyle w:val="Heading1"/>
      </w:pPr>
      <w:bookmarkStart w:id="4" w:name="_Toc4661925"/>
      <w:bookmarkStart w:id="5" w:name="_Toc6908427"/>
      <w:r>
        <w:t>2</w:t>
      </w:r>
      <w:r>
        <w:tab/>
        <w:t>Background</w:t>
      </w:r>
      <w:bookmarkEnd w:id="4"/>
      <w:bookmarkEnd w:id="5"/>
    </w:p>
    <w:p w14:paraId="5B1468CF" w14:textId="7A34B856" w:rsidR="004B244E" w:rsidRDefault="004B244E" w:rsidP="00624AAD">
      <w:r w:rsidRPr="001E024D">
        <w:t xml:space="preserve">On 3 July 2008, the Council of Australian Governments (COAG) formally committed to harmonising the occupational safety and health laws in Australia by signing the </w:t>
      </w:r>
      <w:r w:rsidRPr="001E024D">
        <w:rPr>
          <w:i/>
        </w:rPr>
        <w:t>Intergovernmental Agreement for Regulatory and Operational Reform in Occupational Health and Safety</w:t>
      </w:r>
      <w:r>
        <w:t xml:space="preserve"> (OHS IGA)</w:t>
      </w:r>
      <w:r w:rsidR="00590663">
        <w:t xml:space="preserve">. </w:t>
      </w:r>
      <w:r>
        <w:t xml:space="preserve">The primary goal of the OHS IGA was to develop </w:t>
      </w:r>
      <w:r w:rsidRPr="001E024D">
        <w:t>harmonised legislation, regulations and codes</w:t>
      </w:r>
      <w:r>
        <w:t xml:space="preserve"> of practice that could be adopted in all Australian jurisdictions.</w:t>
      </w:r>
      <w:r w:rsidRPr="00957BFD">
        <w:t xml:space="preserve"> </w:t>
      </w:r>
    </w:p>
    <w:p w14:paraId="5B1468D0" w14:textId="77777777" w:rsidR="00624AAD" w:rsidRDefault="00624AAD" w:rsidP="00624AAD"/>
    <w:p w14:paraId="5B1468D1" w14:textId="79AAD522" w:rsidR="004B244E" w:rsidRDefault="004B244E" w:rsidP="00624AAD">
      <w:r w:rsidRPr="00957BFD">
        <w:t xml:space="preserve">To facilitate the process of modernising Western Australia’s safety and health laws, </w:t>
      </w:r>
      <w:r>
        <w:t>in June 2017</w:t>
      </w:r>
      <w:r w:rsidR="003A2BEB">
        <w:t>,</w:t>
      </w:r>
      <w:r>
        <w:t xml:space="preserve"> </w:t>
      </w:r>
      <w:r w:rsidRPr="00957BFD">
        <w:t>Cabinet established the Ministerial Advisory Panel on Work Health and Safety Reform (MAP).</w:t>
      </w:r>
      <w:r>
        <w:t xml:space="preserve">  The purpose of the MAP was to provide the Minister for Mines and Petroleum; Industrial Relations (Minister) with advice </w:t>
      </w:r>
      <w:r w:rsidRPr="00957BFD">
        <w:t>on the development of a single harmonised and amalgamated WHS Act (WA)</w:t>
      </w:r>
      <w:r>
        <w:t xml:space="preserve"> and based on t</w:t>
      </w:r>
      <w:r w:rsidRPr="00405D2A">
        <w:t>he nat</w:t>
      </w:r>
      <w:r>
        <w:t>ional model Work Health and Safety (WHS) Act</w:t>
      </w:r>
      <w:r w:rsidRPr="00957BFD">
        <w:t xml:space="preserve">. </w:t>
      </w:r>
      <w:r>
        <w:t xml:space="preserve"> </w:t>
      </w:r>
      <w:r w:rsidRPr="00957BFD">
        <w:t xml:space="preserve">The WHS Act (WA) </w:t>
      </w:r>
      <w:r w:rsidR="00C82AA0">
        <w:t xml:space="preserve">is </w:t>
      </w:r>
      <w:r w:rsidRPr="00957BFD">
        <w:t>intended to cover general</w:t>
      </w:r>
      <w:r w:rsidR="00C82AA0">
        <w:t xml:space="preserve"> workplaces</w:t>
      </w:r>
      <w:r w:rsidRPr="00957BFD">
        <w:t xml:space="preserve">, mines and </w:t>
      </w:r>
      <w:r>
        <w:t>petroleum</w:t>
      </w:r>
      <w:r w:rsidRPr="00957BFD">
        <w:t xml:space="preserve"> </w:t>
      </w:r>
      <w:r w:rsidR="00C82AA0">
        <w:t>and geothermal energy operations</w:t>
      </w:r>
      <w:r w:rsidR="00C82AA0" w:rsidRPr="00957BFD">
        <w:t xml:space="preserve"> </w:t>
      </w:r>
      <w:r w:rsidRPr="00957BFD">
        <w:t xml:space="preserve">in Western Australia. </w:t>
      </w:r>
    </w:p>
    <w:p w14:paraId="5B1468D2" w14:textId="77777777" w:rsidR="00624AAD" w:rsidRDefault="00624AAD" w:rsidP="00624AAD"/>
    <w:p w14:paraId="5B1468D3" w14:textId="77777777" w:rsidR="004B244E" w:rsidRDefault="004B244E" w:rsidP="00624AAD">
      <w:r w:rsidRPr="00957BFD">
        <w:t>The M</w:t>
      </w:r>
      <w:r>
        <w:t>AP:</w:t>
      </w:r>
    </w:p>
    <w:p w14:paraId="5B1468D4" w14:textId="0B9323B9" w:rsidR="004B244E" w:rsidRPr="00624AAD" w:rsidRDefault="004B244E" w:rsidP="00624AAD">
      <w:pPr>
        <w:pStyle w:val="ListBullet"/>
      </w:pPr>
      <w:r w:rsidRPr="00624AAD">
        <w:t>provided its recom</w:t>
      </w:r>
      <w:r w:rsidR="003A2BEB">
        <w:t>mendations for the WHS Act (WA)</w:t>
      </w:r>
      <w:r w:rsidRPr="00624AAD">
        <w:t xml:space="preserve"> to the Minister in April 2018; and</w:t>
      </w:r>
    </w:p>
    <w:p w14:paraId="5B1468D5" w14:textId="66B4F7ED" w:rsidR="004B244E" w:rsidRPr="00624AAD" w:rsidRDefault="004B244E" w:rsidP="00624AAD">
      <w:pPr>
        <w:pStyle w:val="ListBullet"/>
      </w:pPr>
      <w:r w:rsidRPr="00624AAD">
        <w:t>included observations for Weste</w:t>
      </w:r>
      <w:r w:rsidR="003A2BEB">
        <w:t>rn Australia’s WHS Regulations.</w:t>
      </w:r>
    </w:p>
    <w:p w14:paraId="5B1468D6" w14:textId="1886C1EC" w:rsidR="004B244E" w:rsidRPr="00FB2490" w:rsidRDefault="004B244E" w:rsidP="00624AAD">
      <w:pPr>
        <w:rPr>
          <w:bCs/>
        </w:rPr>
      </w:pPr>
      <w:r>
        <w:t>The</w:t>
      </w:r>
      <w:r w:rsidRPr="00957BFD">
        <w:t xml:space="preserve"> </w:t>
      </w:r>
      <w:r>
        <w:t>MAP’s WHS Act (WA) proposals</w:t>
      </w:r>
      <w:r w:rsidRPr="00957BFD">
        <w:t xml:space="preserve"> were approved</w:t>
      </w:r>
      <w:r>
        <w:t xml:space="preserve"> by the Minister</w:t>
      </w:r>
      <w:r w:rsidRPr="00957BFD">
        <w:t xml:space="preserve"> for a public consultation perio</w:t>
      </w:r>
      <w:r w:rsidR="003A2BEB">
        <w:t>d that commenced on 1 July 2018</w:t>
      </w:r>
      <w:r w:rsidRPr="00957BFD">
        <w:t xml:space="preserve"> and ended on 31 August 2018.  </w:t>
      </w:r>
      <w:r w:rsidRPr="00CE478B">
        <w:t xml:space="preserve">The Minister </w:t>
      </w:r>
      <w:r w:rsidR="00C82AA0" w:rsidRPr="00CE478B">
        <w:t>has provided proposals to Cabinet</w:t>
      </w:r>
      <w:r w:rsidRPr="00CE478B">
        <w:t>.</w:t>
      </w:r>
    </w:p>
    <w:p w14:paraId="5B1468D7" w14:textId="77777777" w:rsidR="004B244E" w:rsidRDefault="004B244E" w:rsidP="004B244E">
      <w:pPr>
        <w:pStyle w:val="Heading1"/>
      </w:pPr>
      <w:bookmarkStart w:id="6" w:name="_Toc4661926"/>
      <w:bookmarkStart w:id="7" w:name="_Toc6908428"/>
      <w:r>
        <w:t>3</w:t>
      </w:r>
      <w:r>
        <w:tab/>
        <w:t>Proposal</w:t>
      </w:r>
      <w:bookmarkEnd w:id="6"/>
      <w:bookmarkEnd w:id="7"/>
    </w:p>
    <w:p w14:paraId="5B1468D8" w14:textId="77777777" w:rsidR="004B244E" w:rsidRDefault="004B244E" w:rsidP="009106A8">
      <w:pPr>
        <w:spacing w:after="120"/>
        <w:rPr>
          <w:rFonts w:eastAsiaTheme="majorEastAsia"/>
        </w:rPr>
      </w:pPr>
      <w:r>
        <w:rPr>
          <w:rFonts w:eastAsiaTheme="majorEastAsia"/>
        </w:rPr>
        <w:t>Now that the public consultation phase in relation to the WHS Act (WA) has progressed, t</w:t>
      </w:r>
      <w:r w:rsidRPr="0065590A">
        <w:rPr>
          <w:rFonts w:eastAsiaTheme="majorEastAsia"/>
        </w:rPr>
        <w:t xml:space="preserve">he </w:t>
      </w:r>
      <w:r>
        <w:t>Minister has</w:t>
      </w:r>
      <w:r>
        <w:rPr>
          <w:rFonts w:eastAsiaTheme="majorEastAsia"/>
        </w:rPr>
        <w:t>:</w:t>
      </w:r>
    </w:p>
    <w:p w14:paraId="5B1468D9" w14:textId="77777777" w:rsidR="004B244E" w:rsidRPr="00F064B2" w:rsidRDefault="004B244E" w:rsidP="00D50E9F">
      <w:pPr>
        <w:pStyle w:val="ListBullet"/>
      </w:pPr>
      <w:r>
        <w:rPr>
          <w:rFonts w:eastAsiaTheme="majorEastAsia"/>
        </w:rPr>
        <w:t>confirmed</w:t>
      </w:r>
      <w:r w:rsidRPr="00F064B2">
        <w:rPr>
          <w:rFonts w:eastAsiaTheme="majorEastAsia"/>
        </w:rPr>
        <w:t xml:space="preserve"> a preference for the WHS Act</w:t>
      </w:r>
      <w:r>
        <w:rPr>
          <w:rFonts w:eastAsiaTheme="majorEastAsia"/>
        </w:rPr>
        <w:t xml:space="preserve"> (WA</w:t>
      </w:r>
      <w:r w:rsidRPr="00F064B2">
        <w:rPr>
          <w:rFonts w:eastAsiaTheme="majorEastAsia"/>
        </w:rPr>
        <w:t>) to be supported by three sets of industry specific regulations to recognise the State’s unique conditions</w:t>
      </w:r>
      <w:r>
        <w:rPr>
          <w:rFonts w:eastAsiaTheme="majorEastAsia"/>
        </w:rPr>
        <w:t xml:space="preserve">; and </w:t>
      </w:r>
    </w:p>
    <w:p w14:paraId="5B1468DA" w14:textId="70FD1EEE" w:rsidR="004B244E" w:rsidRDefault="004B244E" w:rsidP="00D50E9F">
      <w:pPr>
        <w:pStyle w:val="ListBullet"/>
      </w:pPr>
      <w:r>
        <w:t xml:space="preserve">indicated, subject to public consultation, the intention to adopt the </w:t>
      </w:r>
      <w:hyperlink r:id="rId18" w:history="1">
        <w:r w:rsidRPr="00F23DC0">
          <w:rPr>
            <w:rStyle w:val="Hyperlink"/>
          </w:rPr>
          <w:t>15 January 2019 National Model Work Health and Safety Regulations</w:t>
        </w:r>
      </w:hyperlink>
      <w:r w:rsidRPr="00F064B2">
        <w:rPr>
          <w:color w:val="FF0000"/>
        </w:rPr>
        <w:t xml:space="preserve"> </w:t>
      </w:r>
      <w:r w:rsidRPr="00405D2A">
        <w:t>(model WHS regulations)</w:t>
      </w:r>
      <w:r>
        <w:t xml:space="preserve">.  </w:t>
      </w:r>
    </w:p>
    <w:p w14:paraId="611BE149" w14:textId="2D7B04AB" w:rsidR="0011322E" w:rsidRDefault="0011322E" w:rsidP="00D50E9F">
      <w:pPr>
        <w:rPr>
          <w:rFonts w:eastAsiaTheme="majorEastAsia"/>
        </w:rPr>
      </w:pPr>
    </w:p>
    <w:p w14:paraId="636EE305" w14:textId="77777777" w:rsidR="0011322E" w:rsidRDefault="0011322E" w:rsidP="00D50E9F">
      <w:pPr>
        <w:rPr>
          <w:rFonts w:eastAsiaTheme="majorEastAsia"/>
        </w:rPr>
      </w:pPr>
    </w:p>
    <w:p w14:paraId="4DB1AFEE" w14:textId="4CBE0A7B" w:rsidR="007B1E8F" w:rsidRDefault="007B1E8F" w:rsidP="009106A8">
      <w:pPr>
        <w:spacing w:after="120"/>
        <w:rPr>
          <w:rFonts w:eastAsiaTheme="majorEastAsia"/>
        </w:rPr>
      </w:pPr>
      <w:r>
        <w:rPr>
          <w:rFonts w:eastAsiaTheme="majorEastAsia"/>
        </w:rPr>
        <w:lastRenderedPageBreak/>
        <w:t>The proposed three sets of regulations are:</w:t>
      </w:r>
    </w:p>
    <w:p w14:paraId="31A4E474" w14:textId="3776B62F" w:rsidR="007B1E8F" w:rsidRDefault="007B1E8F" w:rsidP="009106A8">
      <w:pPr>
        <w:pStyle w:val="ListParagraph"/>
        <w:numPr>
          <w:ilvl w:val="0"/>
          <w:numId w:val="41"/>
        </w:numPr>
        <w:spacing w:after="120"/>
        <w:contextualSpacing w:val="0"/>
        <w:rPr>
          <w:rFonts w:eastAsiaTheme="majorEastAsia"/>
        </w:rPr>
      </w:pPr>
      <w:r>
        <w:rPr>
          <w:rFonts w:eastAsiaTheme="majorEastAsia"/>
        </w:rPr>
        <w:t>WHS regulations applying generally to all Western Australian workplaces;</w:t>
      </w:r>
    </w:p>
    <w:p w14:paraId="6037F8CC" w14:textId="73C19B69" w:rsidR="007B1E8F" w:rsidRDefault="007B1E8F" w:rsidP="009106A8">
      <w:pPr>
        <w:pStyle w:val="ListParagraph"/>
        <w:numPr>
          <w:ilvl w:val="0"/>
          <w:numId w:val="41"/>
        </w:numPr>
        <w:spacing w:after="120"/>
        <w:contextualSpacing w:val="0"/>
        <w:rPr>
          <w:rFonts w:eastAsiaTheme="majorEastAsia"/>
        </w:rPr>
      </w:pPr>
      <w:r>
        <w:rPr>
          <w:rFonts w:eastAsiaTheme="majorEastAsia"/>
        </w:rPr>
        <w:t>WHS regulations applying to the mining sector; and</w:t>
      </w:r>
    </w:p>
    <w:p w14:paraId="65740846" w14:textId="12C7A4FA" w:rsidR="007B1E8F" w:rsidRDefault="007B1E8F" w:rsidP="007B1E8F">
      <w:pPr>
        <w:pStyle w:val="ListParagraph"/>
        <w:numPr>
          <w:ilvl w:val="0"/>
          <w:numId w:val="41"/>
        </w:numPr>
        <w:rPr>
          <w:rFonts w:eastAsiaTheme="majorEastAsia"/>
        </w:rPr>
      </w:pPr>
      <w:r>
        <w:rPr>
          <w:rFonts w:eastAsiaTheme="majorEastAsia"/>
        </w:rPr>
        <w:t xml:space="preserve">WHS regulations applying to petroleum and geothermal energy operations. </w:t>
      </w:r>
    </w:p>
    <w:p w14:paraId="1010C1BF" w14:textId="77777777" w:rsidR="007B1E8F" w:rsidRPr="007B1E8F" w:rsidRDefault="007B1E8F" w:rsidP="007B1E8F">
      <w:pPr>
        <w:pStyle w:val="ListParagraph"/>
        <w:rPr>
          <w:rFonts w:eastAsiaTheme="majorEastAsia"/>
        </w:rPr>
      </w:pPr>
    </w:p>
    <w:p w14:paraId="0C4991D1" w14:textId="3005F266" w:rsidR="000B491A" w:rsidRDefault="004B244E" w:rsidP="009106A8">
      <w:pPr>
        <w:spacing w:after="120"/>
        <w:rPr>
          <w:rFonts w:eastAsiaTheme="majorEastAsia"/>
        </w:rPr>
      </w:pPr>
      <w:r>
        <w:rPr>
          <w:rFonts w:eastAsiaTheme="majorEastAsia"/>
        </w:rPr>
        <w:t>In conjunction with the introduction of the three separate sets of WHS regulations, the OSH regulations and workplace safety and health provisions in related mines and petroleum</w:t>
      </w:r>
      <w:r w:rsidR="003A2BEB">
        <w:rPr>
          <w:rFonts w:eastAsiaTheme="majorEastAsia"/>
        </w:rPr>
        <w:t xml:space="preserve"> regulations will be repealed. </w:t>
      </w:r>
      <w:r w:rsidR="00C82AA0">
        <w:rPr>
          <w:rFonts w:eastAsiaTheme="majorEastAsia"/>
        </w:rPr>
        <w:t>The:</w:t>
      </w:r>
    </w:p>
    <w:p w14:paraId="5B1468DC" w14:textId="4E6B856C" w:rsidR="004B244E" w:rsidRPr="00C82AA0" w:rsidRDefault="004B244E" w:rsidP="009106A8">
      <w:pPr>
        <w:pStyle w:val="ListParagraph"/>
        <w:numPr>
          <w:ilvl w:val="0"/>
          <w:numId w:val="42"/>
        </w:numPr>
        <w:spacing w:after="120"/>
        <w:ind w:left="714" w:hanging="357"/>
        <w:contextualSpacing w:val="0"/>
        <w:rPr>
          <w:rFonts w:eastAsiaTheme="majorEastAsia"/>
        </w:rPr>
      </w:pPr>
      <w:r w:rsidRPr="00C82AA0">
        <w:rPr>
          <w:rFonts w:eastAsiaTheme="majorEastAsia"/>
          <w:bCs/>
        </w:rPr>
        <w:t>WHS Regulations will apply generally to workplaces including the mining industry. Some of these regulations will also apply to petroleum and geothermal operations. These details are provided later.</w:t>
      </w:r>
    </w:p>
    <w:p w14:paraId="5B1468DD" w14:textId="77777777" w:rsidR="004B244E" w:rsidRPr="00C82AA0" w:rsidRDefault="004B244E" w:rsidP="009106A8">
      <w:pPr>
        <w:pStyle w:val="ListParagraph"/>
        <w:numPr>
          <w:ilvl w:val="0"/>
          <w:numId w:val="42"/>
        </w:numPr>
        <w:spacing w:after="120"/>
        <w:ind w:left="714" w:hanging="357"/>
        <w:contextualSpacing w:val="0"/>
        <w:rPr>
          <w:rFonts w:eastAsiaTheme="majorEastAsia"/>
          <w:bCs/>
        </w:rPr>
      </w:pPr>
      <w:r w:rsidRPr="00C82AA0">
        <w:rPr>
          <w:rFonts w:eastAsiaTheme="majorEastAsia"/>
          <w:bCs/>
        </w:rPr>
        <w:t>Work Health and Safety (Mines) Regulations will apply to mines only.</w:t>
      </w:r>
    </w:p>
    <w:p w14:paraId="5B1468DE" w14:textId="0DEA6F82" w:rsidR="004B244E" w:rsidRPr="00C82AA0" w:rsidRDefault="004B244E" w:rsidP="009106A8">
      <w:pPr>
        <w:pStyle w:val="ListParagraph"/>
        <w:numPr>
          <w:ilvl w:val="0"/>
          <w:numId w:val="42"/>
        </w:numPr>
        <w:spacing w:before="120"/>
        <w:ind w:left="714" w:hanging="357"/>
        <w:rPr>
          <w:rFonts w:eastAsiaTheme="majorEastAsia"/>
        </w:rPr>
      </w:pPr>
      <w:r w:rsidRPr="00E54406">
        <w:rPr>
          <w:rFonts w:eastAsiaTheme="majorEastAsia"/>
          <w:bCs/>
        </w:rPr>
        <w:t xml:space="preserve">Work Health and Safety (Petroleum and Geothermal Energy Operations) Regulations will apply to petroleum and geothermal energy </w:t>
      </w:r>
      <w:r w:rsidR="00C82AA0">
        <w:rPr>
          <w:rFonts w:eastAsiaTheme="majorEastAsia"/>
          <w:bCs/>
        </w:rPr>
        <w:t>operations</w:t>
      </w:r>
      <w:r w:rsidR="00C82AA0" w:rsidRPr="00C82AA0">
        <w:rPr>
          <w:rFonts w:eastAsiaTheme="majorEastAsia"/>
          <w:bCs/>
        </w:rPr>
        <w:t xml:space="preserve"> </w:t>
      </w:r>
      <w:r w:rsidRPr="00C82AA0">
        <w:rPr>
          <w:rFonts w:eastAsiaTheme="majorEastAsia"/>
          <w:bCs/>
        </w:rPr>
        <w:t xml:space="preserve">only. </w:t>
      </w:r>
    </w:p>
    <w:p w14:paraId="5B1468DF" w14:textId="77777777" w:rsidR="004B244E" w:rsidRDefault="004B244E" w:rsidP="004B244E">
      <w:pPr>
        <w:pStyle w:val="Heading2"/>
      </w:pPr>
      <w:bookmarkStart w:id="8" w:name="_Toc4661927"/>
      <w:bookmarkStart w:id="9" w:name="_Toc6908429"/>
      <w:r>
        <w:t>Three sets of WHS regulations</w:t>
      </w:r>
      <w:bookmarkEnd w:id="8"/>
      <w:bookmarkEnd w:id="9"/>
    </w:p>
    <w:p w14:paraId="5B1468E0" w14:textId="77777777" w:rsidR="004B244E" w:rsidRDefault="004B244E" w:rsidP="00D50E9F">
      <w:pPr>
        <w:rPr>
          <w:rFonts w:eastAsiaTheme="majorEastAsia"/>
        </w:rPr>
      </w:pPr>
      <w:r>
        <w:rPr>
          <w:rFonts w:eastAsiaTheme="majorEastAsia"/>
        </w:rPr>
        <w:t>The three sets of proposed regulations are based on the following general principles:</w:t>
      </w:r>
    </w:p>
    <w:p w14:paraId="5B1468E1" w14:textId="77777777" w:rsidR="004B244E" w:rsidRPr="00F23DC0" w:rsidRDefault="004B244E" w:rsidP="004B244E">
      <w:pPr>
        <w:pStyle w:val="ListParagraph"/>
        <w:numPr>
          <w:ilvl w:val="0"/>
          <w:numId w:val="31"/>
        </w:numPr>
        <w:spacing w:before="120" w:after="120" w:line="240" w:lineRule="auto"/>
        <w:ind w:hanging="357"/>
        <w:contextualSpacing w:val="0"/>
        <w:jc w:val="both"/>
        <w:rPr>
          <w:rFonts w:eastAsiaTheme="majorEastAsia"/>
          <w:color w:val="000000" w:themeColor="text1"/>
        </w:rPr>
      </w:pPr>
      <w:r w:rsidRPr="00F23DC0">
        <w:rPr>
          <w:rFonts w:eastAsiaTheme="majorEastAsia"/>
          <w:color w:val="000000" w:themeColor="text1"/>
        </w:rPr>
        <w:t>The WA WHS regulations</w:t>
      </w:r>
      <w:r w:rsidRPr="00F23DC0">
        <w:rPr>
          <w:rFonts w:eastAsiaTheme="majorEastAsia"/>
          <w:i/>
          <w:color w:val="000000" w:themeColor="text1"/>
        </w:rPr>
        <w:t xml:space="preserve"> </w:t>
      </w:r>
      <w:r w:rsidRPr="00F23DC0">
        <w:rPr>
          <w:rFonts w:eastAsiaTheme="majorEastAsia"/>
          <w:color w:val="000000" w:themeColor="text1"/>
        </w:rPr>
        <w:t xml:space="preserve">will: </w:t>
      </w:r>
    </w:p>
    <w:p w14:paraId="5B1468E2" w14:textId="5A2E64F6" w:rsidR="004B244E" w:rsidRPr="00F23DC0" w:rsidRDefault="004B244E" w:rsidP="004B244E">
      <w:pPr>
        <w:pStyle w:val="ListParagraph"/>
        <w:numPr>
          <w:ilvl w:val="1"/>
          <w:numId w:val="31"/>
        </w:numPr>
        <w:spacing w:before="120" w:after="120" w:line="240" w:lineRule="auto"/>
        <w:ind w:hanging="357"/>
        <w:contextualSpacing w:val="0"/>
        <w:jc w:val="both"/>
        <w:rPr>
          <w:rFonts w:eastAsiaTheme="majorEastAsia"/>
          <w:color w:val="000000" w:themeColor="text1"/>
        </w:rPr>
      </w:pPr>
      <w:r w:rsidRPr="00F23DC0">
        <w:rPr>
          <w:rFonts w:eastAsiaTheme="majorEastAsia"/>
          <w:color w:val="000000" w:themeColor="text1"/>
        </w:rPr>
        <w:t xml:space="preserve">be based on the </w:t>
      </w:r>
      <w:hyperlink r:id="rId19" w:history="1">
        <w:r w:rsidRPr="00CE478B">
          <w:rPr>
            <w:rStyle w:val="Hyperlink"/>
            <w:rFonts w:eastAsiaTheme="majorEastAsia"/>
          </w:rPr>
          <w:t>15 January 2019 model WHS regulations</w:t>
        </w:r>
      </w:hyperlink>
      <w:r w:rsidRPr="00F23DC0">
        <w:rPr>
          <w:rFonts w:eastAsiaTheme="majorEastAsia"/>
          <w:color w:val="000000" w:themeColor="text1"/>
        </w:rPr>
        <w:t>;</w:t>
      </w:r>
    </w:p>
    <w:p w14:paraId="5B1468E3" w14:textId="77777777" w:rsidR="004B244E" w:rsidRDefault="004B244E" w:rsidP="004B244E">
      <w:pPr>
        <w:pStyle w:val="ListParagraph"/>
        <w:numPr>
          <w:ilvl w:val="1"/>
          <w:numId w:val="31"/>
        </w:numPr>
        <w:spacing w:before="120" w:after="120" w:line="240" w:lineRule="auto"/>
        <w:ind w:hanging="357"/>
        <w:contextualSpacing w:val="0"/>
        <w:jc w:val="both"/>
        <w:rPr>
          <w:rFonts w:eastAsiaTheme="majorEastAsia"/>
        </w:rPr>
      </w:pPr>
      <w:r>
        <w:rPr>
          <w:rFonts w:eastAsiaTheme="majorEastAsia"/>
        </w:rPr>
        <w:t>apply to all Western Australian workplaces;</w:t>
      </w:r>
    </w:p>
    <w:p w14:paraId="7FFBDE07" w14:textId="77777777" w:rsidR="00994883" w:rsidRDefault="004B244E" w:rsidP="004B244E">
      <w:pPr>
        <w:pStyle w:val="ListParagraph"/>
        <w:numPr>
          <w:ilvl w:val="1"/>
          <w:numId w:val="31"/>
        </w:numPr>
        <w:spacing w:before="120" w:after="120" w:line="240" w:lineRule="auto"/>
        <w:ind w:hanging="357"/>
        <w:contextualSpacing w:val="0"/>
        <w:jc w:val="both"/>
        <w:rPr>
          <w:rFonts w:eastAsiaTheme="majorEastAsia"/>
        </w:rPr>
      </w:pPr>
      <w:r>
        <w:rPr>
          <w:rFonts w:eastAsiaTheme="majorEastAsia"/>
        </w:rPr>
        <w:t>not include</w:t>
      </w:r>
      <w:r w:rsidR="00994883">
        <w:rPr>
          <w:rFonts w:eastAsiaTheme="majorEastAsia"/>
        </w:rPr>
        <w:t>:</w:t>
      </w:r>
    </w:p>
    <w:p w14:paraId="4DF0205C" w14:textId="77777777" w:rsidR="00994883" w:rsidRDefault="00994883" w:rsidP="00994883">
      <w:pPr>
        <w:pStyle w:val="ListParagraph"/>
        <w:numPr>
          <w:ilvl w:val="2"/>
          <w:numId w:val="31"/>
        </w:numPr>
        <w:spacing w:before="120" w:after="120" w:line="240" w:lineRule="auto"/>
        <w:contextualSpacing w:val="0"/>
        <w:jc w:val="both"/>
        <w:rPr>
          <w:rFonts w:eastAsiaTheme="majorEastAsia"/>
        </w:rPr>
      </w:pPr>
      <w:r w:rsidRPr="004D6A00">
        <w:rPr>
          <w:rFonts w:eastAsiaTheme="majorEastAsia"/>
        </w:rPr>
        <w:t>Chapter 2 Representation and particip</w:t>
      </w:r>
      <w:r>
        <w:rPr>
          <w:rFonts w:eastAsiaTheme="majorEastAsia"/>
        </w:rPr>
        <w:t xml:space="preserve">ation, Part </w:t>
      </w:r>
      <w:r w:rsidRPr="004D6A00">
        <w:rPr>
          <w:rFonts w:eastAsiaTheme="majorEastAsia"/>
        </w:rPr>
        <w:t>2.4 – Workplace en</w:t>
      </w:r>
      <w:r>
        <w:rPr>
          <w:rFonts w:eastAsiaTheme="majorEastAsia"/>
        </w:rPr>
        <w:t>try by WHS entry permit holders;</w:t>
      </w:r>
    </w:p>
    <w:p w14:paraId="5B1468E4" w14:textId="4F4DCA88" w:rsidR="004B244E" w:rsidRDefault="00994883" w:rsidP="00994883">
      <w:pPr>
        <w:pStyle w:val="ListParagraph"/>
        <w:numPr>
          <w:ilvl w:val="2"/>
          <w:numId w:val="31"/>
        </w:numPr>
        <w:spacing w:before="120" w:after="120" w:line="240" w:lineRule="auto"/>
        <w:contextualSpacing w:val="0"/>
        <w:jc w:val="both"/>
        <w:rPr>
          <w:rFonts w:eastAsiaTheme="majorEastAsia"/>
        </w:rPr>
      </w:pPr>
      <w:r>
        <w:rPr>
          <w:rFonts w:eastAsiaTheme="majorEastAsia"/>
        </w:rPr>
        <w:t>Chapter</w:t>
      </w:r>
      <w:r w:rsidR="004B244E" w:rsidRPr="00F064B2">
        <w:rPr>
          <w:rFonts w:eastAsiaTheme="majorEastAsia"/>
        </w:rPr>
        <w:t xml:space="preserve"> 9 – Major Hazard Facilities and </w:t>
      </w:r>
      <w:r w:rsidR="004B244E">
        <w:rPr>
          <w:rFonts w:eastAsiaTheme="majorEastAsia"/>
        </w:rPr>
        <w:t>Part</w:t>
      </w:r>
      <w:r w:rsidR="004B244E" w:rsidRPr="00F064B2">
        <w:rPr>
          <w:rFonts w:eastAsiaTheme="majorEastAsia"/>
        </w:rPr>
        <w:t xml:space="preserve"> 10 - Mines in the WHS regulations applying generally to workplaces</w:t>
      </w:r>
      <w:r>
        <w:rPr>
          <w:rFonts w:eastAsiaTheme="majorEastAsia"/>
        </w:rPr>
        <w:t>; and</w:t>
      </w:r>
    </w:p>
    <w:p w14:paraId="1C9D3263" w14:textId="77777777" w:rsidR="00994883" w:rsidRDefault="00994883" w:rsidP="00994883">
      <w:pPr>
        <w:pStyle w:val="ListParagraph"/>
        <w:numPr>
          <w:ilvl w:val="2"/>
          <w:numId w:val="31"/>
        </w:numPr>
        <w:spacing w:before="120" w:after="120" w:line="240" w:lineRule="auto"/>
        <w:contextualSpacing w:val="0"/>
        <w:jc w:val="both"/>
        <w:rPr>
          <w:rFonts w:eastAsiaTheme="majorEastAsia"/>
        </w:rPr>
      </w:pPr>
      <w:r>
        <w:rPr>
          <w:rFonts w:eastAsiaTheme="majorEastAsia"/>
        </w:rPr>
        <w:t>Schedules relating to Major Hazard Facilities;</w:t>
      </w:r>
    </w:p>
    <w:p w14:paraId="5B1468E5" w14:textId="4AF96325" w:rsidR="004B244E" w:rsidRDefault="004B244E" w:rsidP="004B244E">
      <w:pPr>
        <w:pStyle w:val="ListParagraph"/>
        <w:numPr>
          <w:ilvl w:val="1"/>
          <w:numId w:val="31"/>
        </w:numPr>
        <w:spacing w:before="120" w:after="120" w:line="240" w:lineRule="auto"/>
        <w:ind w:hanging="357"/>
        <w:contextualSpacing w:val="0"/>
        <w:jc w:val="both"/>
        <w:rPr>
          <w:rFonts w:eastAsiaTheme="majorEastAsia"/>
        </w:rPr>
      </w:pPr>
      <w:r>
        <w:rPr>
          <w:rFonts w:eastAsiaTheme="majorEastAsia"/>
        </w:rPr>
        <w:t xml:space="preserve">edit </w:t>
      </w:r>
      <w:r w:rsidR="00994883">
        <w:rPr>
          <w:rFonts w:eastAsiaTheme="majorEastAsia"/>
        </w:rPr>
        <w:t>Chapter</w:t>
      </w:r>
      <w:r>
        <w:rPr>
          <w:rFonts w:eastAsiaTheme="majorEastAsia"/>
        </w:rPr>
        <w:t xml:space="preserve"> 7 – Hazardous Chemicals </w:t>
      </w:r>
      <w:r>
        <w:t xml:space="preserve">and associated schedules </w:t>
      </w:r>
      <w:r>
        <w:rPr>
          <w:rFonts w:eastAsiaTheme="majorEastAsia"/>
        </w:rPr>
        <w:t>to remove duplication with Western Australia’s dangerous goods legislation; and</w:t>
      </w:r>
    </w:p>
    <w:p w14:paraId="5B1468E6" w14:textId="77777777" w:rsidR="004B244E" w:rsidRDefault="004B244E" w:rsidP="004B244E">
      <w:pPr>
        <w:pStyle w:val="ListParagraph"/>
        <w:numPr>
          <w:ilvl w:val="1"/>
          <w:numId w:val="31"/>
        </w:numPr>
        <w:spacing w:before="120" w:after="120" w:line="240" w:lineRule="auto"/>
        <w:ind w:hanging="357"/>
        <w:contextualSpacing w:val="0"/>
        <w:jc w:val="both"/>
        <w:rPr>
          <w:rFonts w:eastAsiaTheme="majorEastAsia"/>
        </w:rPr>
      </w:pPr>
      <w:r>
        <w:rPr>
          <w:rFonts w:eastAsiaTheme="majorEastAsia"/>
        </w:rPr>
        <w:t xml:space="preserve">include some unique provisions from the Occupational Safety and Health Regulations 1996. </w:t>
      </w:r>
    </w:p>
    <w:p w14:paraId="5B1468E7" w14:textId="77777777" w:rsidR="004B244E" w:rsidRPr="00F23DC0" w:rsidRDefault="004B244E" w:rsidP="004B244E">
      <w:pPr>
        <w:pStyle w:val="ListParagraph"/>
        <w:numPr>
          <w:ilvl w:val="0"/>
          <w:numId w:val="31"/>
        </w:numPr>
        <w:spacing w:before="120" w:after="120" w:line="240" w:lineRule="auto"/>
        <w:ind w:hanging="357"/>
        <w:contextualSpacing w:val="0"/>
        <w:jc w:val="both"/>
        <w:rPr>
          <w:rFonts w:eastAsiaTheme="majorEastAsia"/>
          <w:color w:val="000000" w:themeColor="text1"/>
        </w:rPr>
      </w:pPr>
      <w:r w:rsidRPr="00F23DC0">
        <w:rPr>
          <w:rFonts w:eastAsiaTheme="majorEastAsia"/>
          <w:color w:val="000000" w:themeColor="text1"/>
        </w:rPr>
        <w:t>Mining Sector:</w:t>
      </w:r>
    </w:p>
    <w:p w14:paraId="5B1468E8" w14:textId="77777777" w:rsidR="004B244E" w:rsidRPr="00B50B44" w:rsidRDefault="004B244E" w:rsidP="004B244E">
      <w:pPr>
        <w:pStyle w:val="ListParagraph"/>
        <w:numPr>
          <w:ilvl w:val="1"/>
          <w:numId w:val="31"/>
        </w:numPr>
        <w:spacing w:before="120" w:after="120" w:line="240" w:lineRule="auto"/>
        <w:ind w:hanging="357"/>
        <w:contextualSpacing w:val="0"/>
        <w:jc w:val="both"/>
        <w:rPr>
          <w:rFonts w:eastAsiaTheme="majorEastAsia"/>
        </w:rPr>
      </w:pPr>
      <w:r>
        <w:rPr>
          <w:rFonts w:eastAsiaTheme="majorEastAsia"/>
        </w:rPr>
        <w:t xml:space="preserve">the </w:t>
      </w:r>
      <w:r w:rsidRPr="00FF5E55">
        <w:rPr>
          <w:rFonts w:eastAsiaTheme="majorEastAsia"/>
        </w:rPr>
        <w:t xml:space="preserve">WA WHS regulations </w:t>
      </w:r>
      <w:r w:rsidRPr="00B50B44">
        <w:rPr>
          <w:rFonts w:eastAsiaTheme="majorEastAsia"/>
        </w:rPr>
        <w:t xml:space="preserve">will apply to mine sites; </w:t>
      </w:r>
    </w:p>
    <w:p w14:paraId="5B1468E9" w14:textId="424E4D31" w:rsidR="004B244E" w:rsidRDefault="004B244E" w:rsidP="004B244E">
      <w:pPr>
        <w:pStyle w:val="ListParagraph"/>
        <w:numPr>
          <w:ilvl w:val="1"/>
          <w:numId w:val="31"/>
        </w:numPr>
        <w:spacing w:before="120" w:after="120" w:line="240" w:lineRule="auto"/>
        <w:ind w:hanging="357"/>
        <w:contextualSpacing w:val="0"/>
        <w:jc w:val="both"/>
        <w:rPr>
          <w:rFonts w:eastAsiaTheme="majorEastAsia"/>
        </w:rPr>
      </w:pPr>
      <w:r>
        <w:rPr>
          <w:rFonts w:eastAsiaTheme="majorEastAsia"/>
        </w:rPr>
        <w:t>a</w:t>
      </w:r>
      <w:r w:rsidRPr="00B50B44">
        <w:rPr>
          <w:rFonts w:eastAsiaTheme="majorEastAsia"/>
        </w:rPr>
        <w:t>dditional mines specific regula</w:t>
      </w:r>
      <w:r>
        <w:rPr>
          <w:rFonts w:eastAsiaTheme="majorEastAsia"/>
        </w:rPr>
        <w:t>t</w:t>
      </w:r>
      <w:r w:rsidRPr="00B50B44">
        <w:rPr>
          <w:rFonts w:eastAsiaTheme="majorEastAsia"/>
        </w:rPr>
        <w:t xml:space="preserve">ions </w:t>
      </w:r>
      <w:r>
        <w:rPr>
          <w:rFonts w:eastAsiaTheme="majorEastAsia"/>
        </w:rPr>
        <w:t>WHS (Mines)</w:t>
      </w:r>
      <w:r w:rsidR="000B491A">
        <w:rPr>
          <w:rFonts w:eastAsiaTheme="majorEastAsia"/>
        </w:rPr>
        <w:t xml:space="preserve"> </w:t>
      </w:r>
      <w:r>
        <w:rPr>
          <w:rFonts w:eastAsiaTheme="majorEastAsia"/>
        </w:rPr>
        <w:t xml:space="preserve">regulations </w:t>
      </w:r>
      <w:r w:rsidRPr="00B50B44">
        <w:rPr>
          <w:rFonts w:eastAsiaTheme="majorEastAsia"/>
        </w:rPr>
        <w:t xml:space="preserve">will apply </w:t>
      </w:r>
      <w:r>
        <w:rPr>
          <w:rFonts w:eastAsiaTheme="majorEastAsia"/>
        </w:rPr>
        <w:t>based on:</w:t>
      </w:r>
    </w:p>
    <w:p w14:paraId="5B1468EA" w14:textId="5FE20C41" w:rsidR="004B244E" w:rsidRDefault="004B244E" w:rsidP="004B244E">
      <w:pPr>
        <w:pStyle w:val="ListParagraph"/>
        <w:numPr>
          <w:ilvl w:val="2"/>
          <w:numId w:val="31"/>
        </w:numPr>
        <w:spacing w:before="120" w:after="120" w:line="240" w:lineRule="auto"/>
        <w:ind w:hanging="357"/>
        <w:contextualSpacing w:val="0"/>
        <w:jc w:val="both"/>
        <w:rPr>
          <w:rFonts w:eastAsiaTheme="majorEastAsia"/>
        </w:rPr>
      </w:pPr>
      <w:r>
        <w:rPr>
          <w:rFonts w:eastAsiaTheme="majorEastAsia"/>
        </w:rPr>
        <w:t xml:space="preserve">work done by </w:t>
      </w:r>
      <w:r w:rsidR="00C82AA0">
        <w:rPr>
          <w:rFonts w:eastAsiaTheme="majorEastAsia"/>
        </w:rPr>
        <w:t xml:space="preserve">the </w:t>
      </w:r>
      <w:r>
        <w:rPr>
          <w:rFonts w:eastAsiaTheme="majorEastAsia"/>
        </w:rPr>
        <w:t>three dominant mining states and the National Mine Safety Framework;</w:t>
      </w:r>
    </w:p>
    <w:p w14:paraId="5B1468EB" w14:textId="4A0BEDA3" w:rsidR="004B244E" w:rsidRDefault="00C82AA0" w:rsidP="004B244E">
      <w:pPr>
        <w:pStyle w:val="ListParagraph"/>
        <w:numPr>
          <w:ilvl w:val="2"/>
          <w:numId w:val="31"/>
        </w:numPr>
        <w:spacing w:before="120" w:after="120" w:line="240" w:lineRule="auto"/>
        <w:ind w:hanging="357"/>
        <w:contextualSpacing w:val="0"/>
        <w:jc w:val="both"/>
        <w:rPr>
          <w:rFonts w:eastAsiaTheme="majorEastAsia"/>
        </w:rPr>
      </w:pPr>
      <w:r>
        <w:rPr>
          <w:rFonts w:eastAsiaTheme="majorEastAsia"/>
        </w:rPr>
        <w:t xml:space="preserve">the </w:t>
      </w:r>
      <w:r w:rsidR="004B244E" w:rsidRPr="000E21F4">
        <w:rPr>
          <w:rFonts w:eastAsiaTheme="majorEastAsia"/>
        </w:rPr>
        <w:t>mining sector continu</w:t>
      </w:r>
      <w:r w:rsidR="004B244E">
        <w:rPr>
          <w:rFonts w:eastAsiaTheme="majorEastAsia"/>
        </w:rPr>
        <w:t>ing</w:t>
      </w:r>
      <w:r w:rsidR="004B244E" w:rsidRPr="000E21F4">
        <w:rPr>
          <w:rFonts w:eastAsiaTheme="majorEastAsia"/>
        </w:rPr>
        <w:t xml:space="preserve"> to use a risk-based approach</w:t>
      </w:r>
      <w:r w:rsidR="004B244E">
        <w:rPr>
          <w:rFonts w:eastAsiaTheme="majorEastAsia"/>
        </w:rPr>
        <w:t>; and</w:t>
      </w:r>
    </w:p>
    <w:p w14:paraId="5B1468EC" w14:textId="0E6AFC7F" w:rsidR="004B244E" w:rsidRDefault="004B244E" w:rsidP="004B244E">
      <w:pPr>
        <w:pStyle w:val="ListParagraph"/>
        <w:numPr>
          <w:ilvl w:val="2"/>
          <w:numId w:val="31"/>
        </w:numPr>
        <w:spacing w:before="120" w:after="120" w:line="240" w:lineRule="auto"/>
        <w:ind w:hanging="357"/>
        <w:contextualSpacing w:val="0"/>
        <w:jc w:val="both"/>
        <w:rPr>
          <w:rFonts w:eastAsiaTheme="majorEastAsia"/>
        </w:rPr>
      </w:pPr>
      <w:r>
        <w:rPr>
          <w:rFonts w:eastAsiaTheme="majorEastAsia"/>
        </w:rPr>
        <w:t xml:space="preserve">some provisions (radiation and electricity) from the </w:t>
      </w:r>
      <w:r w:rsidRPr="009106A8">
        <w:rPr>
          <w:rFonts w:eastAsiaTheme="majorEastAsia"/>
        </w:rPr>
        <w:t>Mines Safety Inspection Regulations 1995</w:t>
      </w:r>
      <w:r>
        <w:rPr>
          <w:rFonts w:eastAsiaTheme="majorEastAsia"/>
        </w:rPr>
        <w:t xml:space="preserve">; </w:t>
      </w:r>
    </w:p>
    <w:p w14:paraId="3965503B" w14:textId="77777777" w:rsidR="000A0B7B" w:rsidRDefault="000A0B7B" w:rsidP="00A46F47">
      <w:pPr>
        <w:pStyle w:val="ListParagraph"/>
        <w:spacing w:before="120" w:after="120" w:line="240" w:lineRule="auto"/>
        <w:ind w:left="1080"/>
        <w:contextualSpacing w:val="0"/>
        <w:jc w:val="both"/>
        <w:rPr>
          <w:rFonts w:eastAsiaTheme="majorEastAsia"/>
        </w:rPr>
      </w:pPr>
    </w:p>
    <w:p w14:paraId="5B1468ED" w14:textId="77777777" w:rsidR="004B244E" w:rsidRPr="00F23DC0" w:rsidRDefault="004B244E" w:rsidP="004B244E">
      <w:pPr>
        <w:pStyle w:val="ListParagraph"/>
        <w:numPr>
          <w:ilvl w:val="0"/>
          <w:numId w:val="31"/>
        </w:numPr>
        <w:spacing w:before="120" w:after="120" w:line="240" w:lineRule="auto"/>
        <w:contextualSpacing w:val="0"/>
        <w:jc w:val="both"/>
        <w:rPr>
          <w:rFonts w:eastAsiaTheme="majorEastAsia"/>
          <w:color w:val="000000" w:themeColor="text1"/>
        </w:rPr>
      </w:pPr>
      <w:r w:rsidRPr="00F23DC0">
        <w:rPr>
          <w:rFonts w:eastAsiaTheme="majorEastAsia"/>
          <w:color w:val="000000" w:themeColor="text1"/>
        </w:rPr>
        <w:t>Petroleum and Geothermal Energy Operations:</w:t>
      </w:r>
    </w:p>
    <w:p w14:paraId="5B1468EE" w14:textId="77777777" w:rsidR="004B244E" w:rsidRDefault="004B244E" w:rsidP="004B244E">
      <w:pPr>
        <w:pStyle w:val="ListParagraph"/>
        <w:numPr>
          <w:ilvl w:val="1"/>
          <w:numId w:val="31"/>
        </w:numPr>
        <w:spacing w:before="120" w:after="120" w:line="240" w:lineRule="auto"/>
        <w:contextualSpacing w:val="0"/>
        <w:jc w:val="both"/>
        <w:rPr>
          <w:rFonts w:eastAsiaTheme="majorEastAsia"/>
        </w:rPr>
      </w:pPr>
      <w:r>
        <w:rPr>
          <w:rFonts w:eastAsiaTheme="majorEastAsia"/>
        </w:rPr>
        <w:t>will continue to operate under ‘Safety Case’;</w:t>
      </w:r>
    </w:p>
    <w:p w14:paraId="5B1468EF" w14:textId="77777777" w:rsidR="004B244E" w:rsidRDefault="004B244E" w:rsidP="004B244E">
      <w:pPr>
        <w:pStyle w:val="ListParagraph"/>
        <w:numPr>
          <w:ilvl w:val="1"/>
          <w:numId w:val="31"/>
        </w:numPr>
        <w:spacing w:before="120" w:after="120" w:line="240" w:lineRule="auto"/>
        <w:contextualSpacing w:val="0"/>
        <w:jc w:val="both"/>
        <w:rPr>
          <w:rFonts w:eastAsiaTheme="majorEastAsia"/>
        </w:rPr>
      </w:pPr>
      <w:r>
        <w:rPr>
          <w:rFonts w:eastAsiaTheme="majorEastAsia"/>
        </w:rPr>
        <w:t xml:space="preserve">existing regulations have been streamlined; and </w:t>
      </w:r>
    </w:p>
    <w:p w14:paraId="5B1468F0" w14:textId="77777777" w:rsidR="004B244E" w:rsidRDefault="004B244E" w:rsidP="004B244E">
      <w:pPr>
        <w:pStyle w:val="ListParagraph"/>
        <w:numPr>
          <w:ilvl w:val="1"/>
          <w:numId w:val="31"/>
        </w:numPr>
        <w:spacing w:before="120" w:after="120" w:line="240" w:lineRule="auto"/>
        <w:jc w:val="both"/>
        <w:rPr>
          <w:rFonts w:eastAsiaTheme="majorEastAsia"/>
        </w:rPr>
      </w:pPr>
      <w:r>
        <w:rPr>
          <w:rFonts w:eastAsiaTheme="majorEastAsia"/>
        </w:rPr>
        <w:t xml:space="preserve">will be subject to some of the regulations in the </w:t>
      </w:r>
      <w:r w:rsidRPr="00B50B44">
        <w:rPr>
          <w:rFonts w:eastAsiaTheme="majorEastAsia"/>
          <w:i/>
        </w:rPr>
        <w:t>WHS regulations applying generally to workplaces</w:t>
      </w:r>
      <w:r w:rsidRPr="00F945E2">
        <w:rPr>
          <w:rFonts w:eastAsiaTheme="majorEastAsia"/>
        </w:rPr>
        <w:t xml:space="preserve">.  </w:t>
      </w:r>
    </w:p>
    <w:p w14:paraId="5B1468F1" w14:textId="77777777" w:rsidR="004B244E" w:rsidRDefault="004B244E" w:rsidP="009106A8">
      <w:pPr>
        <w:spacing w:before="120" w:after="120"/>
        <w:rPr>
          <w:lang w:eastAsia="en-AU"/>
        </w:rPr>
      </w:pPr>
      <w:r>
        <w:rPr>
          <w:lang w:eastAsia="en-AU"/>
        </w:rPr>
        <w:t xml:space="preserve">As a result of these requirements, the bulk of the WHS Regulations will not apply to the Petroleum and Geothermal sector.  </w:t>
      </w:r>
    </w:p>
    <w:p w14:paraId="5B1468F2" w14:textId="77777777" w:rsidR="004B244E" w:rsidRDefault="004B244E" w:rsidP="009106A8">
      <w:pPr>
        <w:spacing w:before="120" w:after="120"/>
        <w:rPr>
          <w:lang w:eastAsia="en-AU"/>
        </w:rPr>
      </w:pPr>
      <w:r>
        <w:rPr>
          <w:lang w:eastAsia="en-AU"/>
        </w:rPr>
        <w:t>To avoid unnecessary duplication, it is anticipated that the following Parts of the model WHS Regulations will apply to Petroleum Operations:</w:t>
      </w:r>
    </w:p>
    <w:p w14:paraId="5B1468F3" w14:textId="77777777" w:rsidR="004B244E" w:rsidRDefault="004B244E" w:rsidP="00D50E9F">
      <w:pPr>
        <w:pStyle w:val="ListBullet"/>
        <w:rPr>
          <w:lang w:eastAsia="en-AU"/>
        </w:rPr>
      </w:pPr>
      <w:r>
        <w:rPr>
          <w:lang w:eastAsia="en-AU"/>
        </w:rPr>
        <w:t>Chapter 2 Representation and Participation – Parts 2.1, 2.2, 2.3, 2.4, which provides for workplace consultation, Health and Safety Representatives, and Safety Committees</w:t>
      </w:r>
    </w:p>
    <w:p w14:paraId="5B1468F4" w14:textId="77777777" w:rsidR="004B244E" w:rsidRDefault="004B244E" w:rsidP="00D50E9F">
      <w:pPr>
        <w:pStyle w:val="ListBullet"/>
        <w:rPr>
          <w:lang w:eastAsia="en-AU"/>
        </w:rPr>
      </w:pPr>
      <w:r>
        <w:rPr>
          <w:lang w:eastAsia="en-AU"/>
        </w:rPr>
        <w:t>Chapter 3 General Risk and Workplace Management – Part 3.1</w:t>
      </w:r>
    </w:p>
    <w:p w14:paraId="5B1468F5" w14:textId="77777777" w:rsidR="004B244E" w:rsidRDefault="004B244E" w:rsidP="00D50E9F">
      <w:pPr>
        <w:pStyle w:val="ListBullet"/>
        <w:rPr>
          <w:lang w:eastAsia="en-AU"/>
        </w:rPr>
      </w:pPr>
      <w:r>
        <w:rPr>
          <w:lang w:eastAsia="en-AU"/>
        </w:rPr>
        <w:t>Chapter 11 Miscellaneous – Part 11.3, which provides for the clarification of miscellaneous matters.</w:t>
      </w:r>
    </w:p>
    <w:p w14:paraId="16C2C965" w14:textId="7DD6869C" w:rsidR="00994883" w:rsidRPr="00994883" w:rsidRDefault="004B244E" w:rsidP="00994883">
      <w:pPr>
        <w:pStyle w:val="ListBullet"/>
        <w:rPr>
          <w:lang w:eastAsia="en-AU"/>
        </w:rPr>
      </w:pPr>
      <w:r>
        <w:rPr>
          <w:lang w:eastAsia="en-AU"/>
        </w:rPr>
        <w:t xml:space="preserve">Schedule 10 Prohibited carcinogens, restricted carcinogens and restricted hazardous chemicals.  This Schedule will replace provisions in the </w:t>
      </w:r>
      <w:r w:rsidR="00994883" w:rsidRPr="00994883">
        <w:t>three sets of occupational safety and health regulations that relate to petroleum and geothermal energy operations.</w:t>
      </w:r>
    </w:p>
    <w:p w14:paraId="5B1468F7" w14:textId="1BA15190" w:rsidR="004B244E" w:rsidRDefault="004B244E" w:rsidP="00994883">
      <w:pPr>
        <w:pStyle w:val="ListBullet"/>
        <w:numPr>
          <w:ilvl w:val="0"/>
          <w:numId w:val="0"/>
        </w:numPr>
        <w:rPr>
          <w:lang w:eastAsia="en-AU"/>
        </w:rPr>
      </w:pPr>
      <w:r>
        <w:rPr>
          <w:lang w:eastAsia="en-AU"/>
        </w:rPr>
        <w:t>Other than the Parts listed above, it is proposed that the remainder of the WA WHS regulations will be dis-applied from petroleum and geothermal energy operations.</w:t>
      </w:r>
    </w:p>
    <w:p w14:paraId="5B1468F8" w14:textId="77777777" w:rsidR="004B244E" w:rsidRDefault="004B244E" w:rsidP="004B244E">
      <w:pPr>
        <w:pStyle w:val="Heading2"/>
      </w:pPr>
      <w:bookmarkStart w:id="10" w:name="_Toc4661928"/>
      <w:bookmarkStart w:id="11" w:name="_Toc6908430"/>
      <w:r>
        <w:t xml:space="preserve">Dangerous goods </w:t>
      </w:r>
      <w:r w:rsidRPr="001955E4">
        <w:t>and</w:t>
      </w:r>
      <w:r>
        <w:t xml:space="preserve"> m</w:t>
      </w:r>
      <w:r w:rsidRPr="00F945E2">
        <w:t>ajor hazard facilities</w:t>
      </w:r>
      <w:bookmarkEnd w:id="10"/>
      <w:bookmarkEnd w:id="11"/>
      <w:r w:rsidRPr="00F945E2">
        <w:t xml:space="preserve"> </w:t>
      </w:r>
    </w:p>
    <w:p w14:paraId="5B1468F9" w14:textId="72EE7C47" w:rsidR="004B244E" w:rsidRDefault="004B244E" w:rsidP="004B244E">
      <w:pPr>
        <w:spacing w:after="240"/>
        <w:rPr>
          <w:rFonts w:eastAsiaTheme="majorEastAsia"/>
        </w:rPr>
      </w:pPr>
      <w:r>
        <w:rPr>
          <w:rFonts w:eastAsiaTheme="majorEastAsia"/>
        </w:rPr>
        <w:t>Dangerous goods and m</w:t>
      </w:r>
      <w:r w:rsidRPr="00F945E2">
        <w:rPr>
          <w:rFonts w:eastAsiaTheme="majorEastAsia"/>
        </w:rPr>
        <w:t xml:space="preserve">ajor hazard facilities will remain under </w:t>
      </w:r>
      <w:r>
        <w:rPr>
          <w:rFonts w:eastAsiaTheme="majorEastAsia"/>
        </w:rPr>
        <w:t>dangerous goods</w:t>
      </w:r>
      <w:r w:rsidRPr="00F945E2">
        <w:rPr>
          <w:rFonts w:eastAsiaTheme="majorEastAsia"/>
        </w:rPr>
        <w:t xml:space="preserve"> legislation.  </w:t>
      </w:r>
      <w:r>
        <w:rPr>
          <w:rFonts w:eastAsiaTheme="majorEastAsia"/>
        </w:rPr>
        <w:t>However, t</w:t>
      </w:r>
      <w:r w:rsidRPr="00F945E2">
        <w:t>he approach to dangerous goods</w:t>
      </w:r>
      <w:r>
        <w:t>, including major hazard facilities</w:t>
      </w:r>
      <w:r w:rsidR="00C82AA0">
        <w:t>,</w:t>
      </w:r>
      <w:r w:rsidRPr="00F945E2">
        <w:t xml:space="preserve"> will be reviewed within two years of the WHS Act </w:t>
      </w:r>
      <w:r w:rsidR="00C82AA0">
        <w:t xml:space="preserve">(WA) </w:t>
      </w:r>
      <w:r>
        <w:t>being</w:t>
      </w:r>
      <w:r w:rsidRPr="00F945E2">
        <w:t xml:space="preserve"> procla</w:t>
      </w:r>
      <w:r>
        <w:t>imed</w:t>
      </w:r>
      <w:r w:rsidRPr="00F945E2">
        <w:t xml:space="preserve"> in Western Australia, with a view to determining whether </w:t>
      </w:r>
      <w:r>
        <w:t>dangerous goods</w:t>
      </w:r>
      <w:r w:rsidRPr="00F945E2">
        <w:t xml:space="preserve"> and major hazard facility regulations are brought under the WHS Act.  </w:t>
      </w:r>
    </w:p>
    <w:p w14:paraId="61EC782B" w14:textId="1C56420C" w:rsidR="00C82AA0" w:rsidRPr="007A22F2" w:rsidRDefault="004B244E" w:rsidP="004B244E">
      <w:pPr>
        <w:pStyle w:val="BodyText"/>
        <w:tabs>
          <w:tab w:val="left" w:pos="3699"/>
          <w:tab w:val="left" w:pos="7391"/>
          <w:tab w:val="left" w:pos="10986"/>
        </w:tabs>
        <w:spacing w:before="120" w:after="120"/>
        <w:rPr>
          <w:rStyle w:val="Hyperlink"/>
          <w:rFonts w:cs="Times New Roman"/>
        </w:rPr>
      </w:pPr>
      <w:r w:rsidRPr="005342DA">
        <w:rPr>
          <w:rFonts w:ascii="Arial" w:hAnsi="Arial" w:cs="Arial"/>
          <w:lang w:val="en-US" w:eastAsia="en-AU"/>
        </w:rPr>
        <w:t xml:space="preserve">Because the </w:t>
      </w:r>
      <w:r w:rsidRPr="005342DA">
        <w:rPr>
          <w:rFonts w:ascii="Arial" w:hAnsi="Arial" w:cs="Arial"/>
          <w:i/>
          <w:lang w:val="en-US" w:eastAsia="en-AU"/>
        </w:rPr>
        <w:t>Dangerous Goods Safety Act 2004</w:t>
      </w:r>
      <w:r w:rsidRPr="005342DA">
        <w:rPr>
          <w:rFonts w:ascii="Arial" w:hAnsi="Arial" w:cs="Arial"/>
          <w:lang w:val="en-US" w:eastAsia="en-AU"/>
        </w:rPr>
        <w:t xml:space="preserve"> and its regulations will continue to operate, there will be some overlap between the dangerous goods legislation and Chapter 7 – Hazardous chemicals of the model WHS regulations.  To address this overlap, it is proposed that </w:t>
      </w:r>
      <w:r w:rsidR="00C82AA0">
        <w:rPr>
          <w:rFonts w:ascii="Arial" w:hAnsi="Arial" w:cs="Arial"/>
          <w:lang w:val="en-US" w:eastAsia="en-AU"/>
        </w:rPr>
        <w:t>some</w:t>
      </w:r>
      <w:r w:rsidRPr="005342DA">
        <w:rPr>
          <w:rFonts w:ascii="Arial" w:hAnsi="Arial" w:cs="Arial"/>
          <w:lang w:val="en-US" w:eastAsia="en-AU"/>
        </w:rPr>
        <w:t xml:space="preserve"> model WHS regulations</w:t>
      </w:r>
      <w:r w:rsidR="00C82AA0">
        <w:rPr>
          <w:rFonts w:ascii="Arial" w:hAnsi="Arial" w:cs="Arial"/>
          <w:lang w:val="en-US" w:eastAsia="en-AU"/>
        </w:rPr>
        <w:t xml:space="preserve"> </w:t>
      </w:r>
      <w:r w:rsidRPr="005342DA">
        <w:rPr>
          <w:rFonts w:ascii="Arial" w:hAnsi="Arial" w:cs="Arial"/>
          <w:lang w:val="en-US" w:eastAsia="en-AU"/>
        </w:rPr>
        <w:t>are deleted</w:t>
      </w:r>
      <w:r w:rsidR="00C82AA0">
        <w:rPr>
          <w:rFonts w:ascii="Arial" w:hAnsi="Arial" w:cs="Arial"/>
          <w:lang w:val="en-US" w:eastAsia="en-AU"/>
        </w:rPr>
        <w:t xml:space="preserve">.  The proposed deletions, with explanation, are detailed </w:t>
      </w:r>
      <w:r w:rsidR="00CE478B">
        <w:rPr>
          <w:rFonts w:ascii="Arial" w:hAnsi="Arial" w:cs="Arial"/>
          <w:lang w:val="en-US" w:eastAsia="en-AU"/>
        </w:rPr>
        <w:t>in</w:t>
      </w:r>
      <w:r w:rsidR="00C82AA0" w:rsidRPr="009106A8">
        <w:rPr>
          <w:rFonts w:ascii="Arial" w:hAnsi="Arial" w:cs="Arial"/>
          <w:b/>
          <w:lang w:val="en-US" w:eastAsia="en-AU"/>
        </w:rPr>
        <w:t xml:space="preserve">: </w:t>
      </w:r>
      <w:hyperlink r:id="rId20" w:history="1">
        <w:r w:rsidR="007A22F2" w:rsidRPr="007A22F2">
          <w:rPr>
            <w:rStyle w:val="Hyperlink"/>
            <w:rFonts w:cs="Times New Roman"/>
          </w:rPr>
          <w:t>Proposed deletions in Western Australia to remove overlap with the Dangerous Goods Safety Act 2004</w:t>
        </w:r>
      </w:hyperlink>
    </w:p>
    <w:p w14:paraId="5B1468FA" w14:textId="00662885" w:rsidR="004B244E" w:rsidRPr="002E4004" w:rsidRDefault="00BF126F" w:rsidP="004B244E">
      <w:pPr>
        <w:pStyle w:val="BodyText"/>
        <w:tabs>
          <w:tab w:val="left" w:pos="3699"/>
          <w:tab w:val="left" w:pos="7391"/>
          <w:tab w:val="left" w:pos="10986"/>
        </w:tabs>
        <w:spacing w:before="120" w:after="120"/>
        <w:rPr>
          <w:rFonts w:ascii="Arial" w:hAnsi="Arial" w:cs="Arial"/>
          <w:lang w:eastAsia="en-AU"/>
        </w:rPr>
      </w:pPr>
      <w:r>
        <w:rPr>
          <w:rFonts w:ascii="Arial" w:hAnsi="Arial" w:cs="Arial"/>
        </w:rPr>
        <w:t>S</w:t>
      </w:r>
      <w:r w:rsidR="004B244E" w:rsidRPr="005342DA">
        <w:rPr>
          <w:rFonts w:ascii="Arial" w:hAnsi="Arial" w:cs="Arial"/>
        </w:rPr>
        <w:t xml:space="preserve">chedules (11, 12 &amp; 13) are also proposed </w:t>
      </w:r>
      <w:r w:rsidR="004B244E" w:rsidRPr="002E4004">
        <w:rPr>
          <w:rFonts w:ascii="Arial" w:hAnsi="Arial" w:cs="Arial"/>
        </w:rPr>
        <w:t xml:space="preserve">for deletion. </w:t>
      </w:r>
      <w:r w:rsidR="004B244E" w:rsidRPr="002E4004">
        <w:rPr>
          <w:rFonts w:ascii="Arial" w:hAnsi="Arial" w:cs="Arial"/>
          <w:lang w:eastAsia="en-AU"/>
        </w:rPr>
        <w:t xml:space="preserve"> </w:t>
      </w:r>
    </w:p>
    <w:p w14:paraId="5B1468FB" w14:textId="3841451B" w:rsidR="004B244E" w:rsidRDefault="004B244E" w:rsidP="004B244E">
      <w:pPr>
        <w:spacing w:after="240"/>
        <w:rPr>
          <w:lang w:eastAsia="en-AU"/>
        </w:rPr>
      </w:pPr>
      <w:r>
        <w:rPr>
          <w:lang w:eastAsia="en-AU"/>
        </w:rPr>
        <w:t>Matters covered by these hazardous chemicals regulations include</w:t>
      </w:r>
      <w:r w:rsidR="00991EC5">
        <w:rPr>
          <w:lang w:eastAsia="en-AU"/>
        </w:rPr>
        <w:t>,</w:t>
      </w:r>
      <w:r>
        <w:rPr>
          <w:lang w:eastAsia="en-AU"/>
        </w:rPr>
        <w:t xml:space="preserve"> packaging and age restrictions for supply, manifest quantities, placard requirements, emergency plans, storage and handling systems and pipelines.  There will also be consequential amendments to </w:t>
      </w:r>
      <w:r w:rsidRPr="00EE6B90">
        <w:rPr>
          <w:lang w:eastAsia="en-AU"/>
        </w:rPr>
        <w:t xml:space="preserve">definitions and </w:t>
      </w:r>
      <w:r>
        <w:rPr>
          <w:lang w:eastAsia="en-AU"/>
        </w:rPr>
        <w:t>S</w:t>
      </w:r>
      <w:r w:rsidRPr="00EE6B90">
        <w:rPr>
          <w:lang w:eastAsia="en-AU"/>
        </w:rPr>
        <w:t>chedules</w:t>
      </w:r>
      <w:r>
        <w:rPr>
          <w:lang w:eastAsia="en-AU"/>
        </w:rPr>
        <w:t xml:space="preserve"> in the WHS regulations.</w:t>
      </w:r>
    </w:p>
    <w:p w14:paraId="5B1468FC" w14:textId="77777777" w:rsidR="004B244E" w:rsidRDefault="004B244E" w:rsidP="004B244E">
      <w:pPr>
        <w:pStyle w:val="Heading2"/>
      </w:pPr>
      <w:bookmarkStart w:id="12" w:name="_Toc4661929"/>
      <w:bookmarkStart w:id="13" w:name="_Toc6908431"/>
      <w:r>
        <w:lastRenderedPageBreak/>
        <w:t>Diagrams of the structure for the WHS regulations</w:t>
      </w:r>
      <w:bookmarkEnd w:id="12"/>
      <w:bookmarkEnd w:id="13"/>
    </w:p>
    <w:p w14:paraId="5B1468FD" w14:textId="77777777" w:rsidR="004B244E" w:rsidRDefault="004B244E" w:rsidP="004B244E">
      <w:pPr>
        <w:spacing w:after="120"/>
        <w:rPr>
          <w:rFonts w:eastAsiaTheme="majorEastAsia"/>
        </w:rPr>
      </w:pPr>
      <w:r>
        <w:rPr>
          <w:rFonts w:eastAsiaTheme="majorEastAsia"/>
        </w:rPr>
        <w:t>The diagrams below:</w:t>
      </w:r>
    </w:p>
    <w:p w14:paraId="5B1468FE" w14:textId="77777777" w:rsidR="004B244E" w:rsidRPr="007C0F27" w:rsidRDefault="004B244E" w:rsidP="004B244E">
      <w:pPr>
        <w:pStyle w:val="ListParagraph"/>
        <w:numPr>
          <w:ilvl w:val="0"/>
          <w:numId w:val="37"/>
        </w:numPr>
        <w:spacing w:after="120" w:line="240" w:lineRule="auto"/>
        <w:contextualSpacing w:val="0"/>
        <w:jc w:val="both"/>
        <w:rPr>
          <w:rFonts w:eastAsiaTheme="majorEastAsia"/>
        </w:rPr>
      </w:pPr>
      <w:r w:rsidRPr="007C0F27">
        <w:rPr>
          <w:rFonts w:eastAsiaTheme="majorEastAsia"/>
        </w:rPr>
        <w:t>give the proposed structure for the Western Australian:</w:t>
      </w:r>
    </w:p>
    <w:p w14:paraId="5B1468FF" w14:textId="77777777" w:rsidR="004B244E" w:rsidRPr="007C0F27" w:rsidRDefault="004B244E" w:rsidP="004B244E">
      <w:pPr>
        <w:pStyle w:val="ListParagraph"/>
        <w:numPr>
          <w:ilvl w:val="1"/>
          <w:numId w:val="37"/>
        </w:numPr>
        <w:spacing w:after="120" w:line="240" w:lineRule="auto"/>
        <w:contextualSpacing w:val="0"/>
        <w:jc w:val="both"/>
        <w:rPr>
          <w:rFonts w:eastAsiaTheme="majorEastAsia"/>
        </w:rPr>
      </w:pPr>
      <w:r w:rsidRPr="007C0F27">
        <w:rPr>
          <w:rFonts w:eastAsiaTheme="majorEastAsia"/>
        </w:rPr>
        <w:t xml:space="preserve">WHS regulations; </w:t>
      </w:r>
    </w:p>
    <w:p w14:paraId="5B146900" w14:textId="77777777" w:rsidR="004B244E" w:rsidRPr="007C0F27" w:rsidRDefault="004B244E" w:rsidP="004B244E">
      <w:pPr>
        <w:pStyle w:val="ListParagraph"/>
        <w:numPr>
          <w:ilvl w:val="1"/>
          <w:numId w:val="37"/>
        </w:numPr>
        <w:spacing w:after="120" w:line="240" w:lineRule="auto"/>
        <w:contextualSpacing w:val="0"/>
        <w:jc w:val="both"/>
        <w:rPr>
          <w:rFonts w:eastAsiaTheme="majorEastAsia"/>
        </w:rPr>
      </w:pPr>
      <w:r w:rsidRPr="007C0F27">
        <w:rPr>
          <w:rFonts w:eastAsiaTheme="majorEastAsia"/>
        </w:rPr>
        <w:t>WHS (Mines) regulations; and</w:t>
      </w:r>
    </w:p>
    <w:p w14:paraId="5B146901" w14:textId="49B93332" w:rsidR="004B244E" w:rsidRPr="007C0F27" w:rsidRDefault="004B244E" w:rsidP="004B244E">
      <w:pPr>
        <w:pStyle w:val="ListParagraph"/>
        <w:numPr>
          <w:ilvl w:val="1"/>
          <w:numId w:val="37"/>
        </w:numPr>
        <w:spacing w:after="120" w:line="240" w:lineRule="auto"/>
        <w:contextualSpacing w:val="0"/>
        <w:jc w:val="both"/>
        <w:rPr>
          <w:rFonts w:eastAsiaTheme="majorEastAsia"/>
        </w:rPr>
      </w:pPr>
      <w:r w:rsidRPr="007C0F27">
        <w:rPr>
          <w:rFonts w:eastAsiaTheme="majorEastAsia"/>
        </w:rPr>
        <w:t>WHS (Petroleum and Geothermal Energy Operations) regulations</w:t>
      </w:r>
    </w:p>
    <w:p w14:paraId="5B146902" w14:textId="6A2D39C0" w:rsidR="004B244E" w:rsidRDefault="004B244E" w:rsidP="004B244E">
      <w:pPr>
        <w:pStyle w:val="ListParagraph"/>
        <w:numPr>
          <w:ilvl w:val="0"/>
          <w:numId w:val="37"/>
        </w:numPr>
        <w:spacing w:before="120" w:after="240" w:line="240" w:lineRule="auto"/>
        <w:jc w:val="both"/>
        <w:rPr>
          <w:rFonts w:eastAsiaTheme="majorEastAsia"/>
        </w:rPr>
      </w:pPr>
      <w:r>
        <w:rPr>
          <w:rFonts w:eastAsiaTheme="majorEastAsia"/>
        </w:rPr>
        <w:t xml:space="preserve">recognise that dangerous goods legislation will be subject to further consideration.  </w:t>
      </w:r>
      <w:r w:rsidRPr="007C0F27">
        <w:rPr>
          <w:rFonts w:eastAsiaTheme="majorEastAsia"/>
        </w:rPr>
        <w:t xml:space="preserve">  </w:t>
      </w:r>
    </w:p>
    <w:p w14:paraId="5B146903" w14:textId="77777777" w:rsidR="004B244E" w:rsidRPr="005342DA" w:rsidRDefault="004B244E" w:rsidP="004B244E">
      <w:pPr>
        <w:spacing w:after="240"/>
        <w:jc w:val="center"/>
        <w:rPr>
          <w:rFonts w:eastAsiaTheme="majorEastAsia"/>
        </w:rPr>
      </w:pPr>
      <w:r w:rsidRPr="00A14681">
        <w:rPr>
          <w:lang w:eastAsia="en-AU"/>
        </w:rPr>
        <w:t>WHS REGULATIONS</w:t>
      </w:r>
    </w:p>
    <w:p w14:paraId="5B146904" w14:textId="77777777" w:rsidR="004B244E" w:rsidRDefault="004B244E" w:rsidP="004B244E">
      <w:pPr>
        <w:spacing w:after="240"/>
        <w:rPr>
          <w:lang w:eastAsia="en-AU"/>
        </w:rPr>
      </w:pPr>
      <w:r>
        <w:rPr>
          <w:noProof/>
          <w:lang w:eastAsia="en-AU"/>
        </w:rPr>
        <w:drawing>
          <wp:inline distT="0" distB="0" distL="0" distR="0" wp14:anchorId="5B146968" wp14:editId="5B146969">
            <wp:extent cx="5386705" cy="2240979"/>
            <wp:effectExtent l="0" t="0" r="444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S Regulations updated 20 March.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86705" cy="2240979"/>
                    </a:xfrm>
                    <a:prstGeom prst="rect">
                      <a:avLst/>
                    </a:prstGeom>
                  </pic:spPr>
                </pic:pic>
              </a:graphicData>
            </a:graphic>
          </wp:inline>
        </w:drawing>
      </w:r>
    </w:p>
    <w:p w14:paraId="5B146905" w14:textId="77777777" w:rsidR="004B244E" w:rsidRDefault="004B244E" w:rsidP="004B244E">
      <w:pPr>
        <w:spacing w:after="240"/>
        <w:rPr>
          <w:lang w:eastAsia="en-AU"/>
        </w:rPr>
      </w:pPr>
    </w:p>
    <w:p w14:paraId="5B146906" w14:textId="77777777" w:rsidR="004B244E" w:rsidRPr="001E391F" w:rsidRDefault="004B244E" w:rsidP="004B244E">
      <w:pPr>
        <w:spacing w:after="240"/>
        <w:jc w:val="center"/>
        <w:rPr>
          <w:lang w:eastAsia="en-AU"/>
        </w:rPr>
      </w:pPr>
      <w:r w:rsidRPr="001E391F">
        <w:rPr>
          <w:lang w:eastAsia="en-AU"/>
        </w:rPr>
        <w:t>MINING SECTOR</w:t>
      </w:r>
    </w:p>
    <w:p w14:paraId="5B146907" w14:textId="77777777" w:rsidR="004B244E" w:rsidRDefault="004B244E" w:rsidP="004B244E">
      <w:pPr>
        <w:spacing w:after="240"/>
        <w:rPr>
          <w:lang w:eastAsia="en-AU"/>
        </w:rPr>
      </w:pPr>
      <w:r>
        <w:rPr>
          <w:noProof/>
          <w:lang w:eastAsia="en-AU"/>
        </w:rPr>
        <w:drawing>
          <wp:inline distT="0" distB="0" distL="0" distR="0" wp14:anchorId="5B14696A" wp14:editId="5B14696B">
            <wp:extent cx="5386705" cy="1780251"/>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S Regulations MINING.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386705" cy="1780251"/>
                    </a:xfrm>
                    <a:prstGeom prst="rect">
                      <a:avLst/>
                    </a:prstGeom>
                  </pic:spPr>
                </pic:pic>
              </a:graphicData>
            </a:graphic>
          </wp:inline>
        </w:drawing>
      </w:r>
    </w:p>
    <w:p w14:paraId="5B146908" w14:textId="0860A477" w:rsidR="004B244E" w:rsidRDefault="004B244E" w:rsidP="004B244E">
      <w:pPr>
        <w:spacing w:after="240"/>
        <w:jc w:val="center"/>
        <w:rPr>
          <w:lang w:eastAsia="en-AU"/>
        </w:rPr>
      </w:pPr>
    </w:p>
    <w:p w14:paraId="7E920E51" w14:textId="0B4E94DD" w:rsidR="00A46F47" w:rsidRDefault="00A46F47" w:rsidP="004B244E">
      <w:pPr>
        <w:spacing w:after="240"/>
        <w:jc w:val="center"/>
        <w:rPr>
          <w:lang w:eastAsia="en-AU"/>
        </w:rPr>
      </w:pPr>
    </w:p>
    <w:p w14:paraId="60B1A9D7" w14:textId="7D8EAC94" w:rsidR="00A46F47" w:rsidRDefault="00A46F47" w:rsidP="004B244E">
      <w:pPr>
        <w:spacing w:after="240"/>
        <w:jc w:val="center"/>
        <w:rPr>
          <w:lang w:eastAsia="en-AU"/>
        </w:rPr>
      </w:pPr>
    </w:p>
    <w:p w14:paraId="657F93F0" w14:textId="58D14110" w:rsidR="00A46F47" w:rsidRDefault="00A46F47" w:rsidP="004B244E">
      <w:pPr>
        <w:spacing w:after="240"/>
        <w:jc w:val="center"/>
        <w:rPr>
          <w:lang w:eastAsia="en-AU"/>
        </w:rPr>
      </w:pPr>
    </w:p>
    <w:p w14:paraId="6EB9DF46" w14:textId="77777777" w:rsidR="00A46F47" w:rsidRDefault="00A46F47" w:rsidP="004B244E">
      <w:pPr>
        <w:spacing w:after="240"/>
        <w:jc w:val="center"/>
        <w:rPr>
          <w:lang w:eastAsia="en-AU"/>
        </w:rPr>
      </w:pPr>
    </w:p>
    <w:p w14:paraId="5B146909" w14:textId="77777777" w:rsidR="004B244E" w:rsidRDefault="004B244E" w:rsidP="004B244E">
      <w:pPr>
        <w:spacing w:after="240"/>
        <w:jc w:val="center"/>
        <w:rPr>
          <w:lang w:eastAsia="en-AU"/>
        </w:rPr>
      </w:pPr>
      <w:r w:rsidRPr="00D05E09">
        <w:rPr>
          <w:lang w:eastAsia="en-AU"/>
        </w:rPr>
        <w:lastRenderedPageBreak/>
        <w:t>PETROLEUM AND GEOTHERMAL ENERGY OPERATIONS</w:t>
      </w:r>
    </w:p>
    <w:p w14:paraId="5B14690A" w14:textId="77777777" w:rsidR="004B244E" w:rsidRDefault="004B244E" w:rsidP="004B244E">
      <w:pPr>
        <w:spacing w:after="240"/>
        <w:rPr>
          <w:sz w:val="36"/>
          <w:szCs w:val="36"/>
          <w:lang w:eastAsia="en-AU"/>
        </w:rPr>
      </w:pPr>
      <w:r>
        <w:rPr>
          <w:noProof/>
          <w:lang w:eastAsia="en-AU"/>
        </w:rPr>
        <w:drawing>
          <wp:inline distT="0" distB="0" distL="0" distR="0" wp14:anchorId="5B14696C" wp14:editId="5B14696D">
            <wp:extent cx="5386705" cy="149319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S Regulations PETROLEUM.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386705" cy="1493190"/>
                    </a:xfrm>
                    <a:prstGeom prst="rect">
                      <a:avLst/>
                    </a:prstGeom>
                  </pic:spPr>
                </pic:pic>
              </a:graphicData>
            </a:graphic>
          </wp:inline>
        </w:drawing>
      </w:r>
    </w:p>
    <w:p w14:paraId="5B14690B" w14:textId="640D66DF" w:rsidR="004B244E" w:rsidRDefault="004B244E" w:rsidP="004B244E">
      <w:pPr>
        <w:spacing w:after="240"/>
        <w:rPr>
          <w:lang w:eastAsia="en-AU"/>
        </w:rPr>
      </w:pPr>
    </w:p>
    <w:p w14:paraId="5B14690C" w14:textId="77777777" w:rsidR="004B244E" w:rsidRDefault="004B244E" w:rsidP="004B244E">
      <w:pPr>
        <w:pStyle w:val="Heading1"/>
        <w:spacing w:after="120"/>
      </w:pPr>
      <w:bookmarkStart w:id="14" w:name="_Toc4661930"/>
      <w:bookmarkStart w:id="15" w:name="_Toc6908432"/>
      <w:r>
        <w:t>4</w:t>
      </w:r>
      <w:r>
        <w:tab/>
      </w:r>
      <w:r w:rsidRPr="009660B1">
        <w:t>December 2018 Review of the national model Work Health and Safety laws – Final Report</w:t>
      </w:r>
      <w:bookmarkEnd w:id="14"/>
      <w:bookmarkEnd w:id="15"/>
    </w:p>
    <w:p w14:paraId="5B14690D" w14:textId="2B3A77BE" w:rsidR="004B244E" w:rsidRDefault="004B244E" w:rsidP="004B244E">
      <w:r w:rsidRPr="00046154">
        <w:t xml:space="preserve">The December 2018 Review of the </w:t>
      </w:r>
      <w:r>
        <w:t xml:space="preserve">national </w:t>
      </w:r>
      <w:r w:rsidRPr="00046154">
        <w:t>model Work Health and Safety laws – Final Report (WHS review report)</w:t>
      </w:r>
      <w:r>
        <w:t xml:space="preserve"> was prepared at the request </w:t>
      </w:r>
      <w:r w:rsidR="00991EC5">
        <w:t xml:space="preserve">of the </w:t>
      </w:r>
      <w:r>
        <w:t xml:space="preserve">Ministers with responsibility for work health and </w:t>
      </w:r>
      <w:r w:rsidRPr="005342DA">
        <w:t xml:space="preserve">safety matters.  The review of the national model WHS laws was conducted in 2018 by Ms </w:t>
      </w:r>
      <w:r w:rsidRPr="005342DA">
        <w:rPr>
          <w:color w:val="292B2C"/>
        </w:rPr>
        <w:t>Marie Boland</w:t>
      </w:r>
      <w:r>
        <w:rPr>
          <w:color w:val="292B2C"/>
        </w:rPr>
        <w:t xml:space="preserve"> </w:t>
      </w:r>
      <w:r w:rsidR="00991EC5">
        <w:rPr>
          <w:color w:val="292B2C"/>
        </w:rPr>
        <w:t>(a</w:t>
      </w:r>
      <w:r w:rsidRPr="005342DA">
        <w:rPr>
          <w:color w:val="292B2C"/>
        </w:rPr>
        <w:t>n independent reviewer)</w:t>
      </w:r>
      <w:r w:rsidRPr="005342DA">
        <w:t xml:space="preserve"> and exam</w:t>
      </w:r>
      <w:r w:rsidRPr="005342DA">
        <w:rPr>
          <w:color w:val="292B2C"/>
        </w:rPr>
        <w:t xml:space="preserve">ined how the </w:t>
      </w:r>
      <w:hyperlink r:id="rId24" w:anchor="model_WHS_laws" w:history="1">
        <w:r w:rsidRPr="005342DA">
          <w:rPr>
            <w:rStyle w:val="HTMLDefinition"/>
            <w:color w:val="2E3438"/>
          </w:rPr>
          <w:t>model WHS laws</w:t>
        </w:r>
      </w:hyperlink>
      <w:r w:rsidRPr="005342DA">
        <w:rPr>
          <w:color w:val="292B2C"/>
        </w:rPr>
        <w:t xml:space="preserve"> are operating in practice. The review found the laws are largely operating as intended, but that some changes are needed to provide clarity and to drive greater consistency in the application and enforcement of the laws across jurisd</w:t>
      </w:r>
      <w:r w:rsidRPr="00046154">
        <w:t xml:space="preserve">ictions.  </w:t>
      </w:r>
    </w:p>
    <w:p w14:paraId="7D88A8D7" w14:textId="77777777" w:rsidR="00FC3038" w:rsidRDefault="00FC3038" w:rsidP="004B244E"/>
    <w:p w14:paraId="5B14690E" w14:textId="2C0951CB" w:rsidR="004B244E" w:rsidRDefault="004B244E" w:rsidP="004B244E">
      <w:r w:rsidRPr="00046154">
        <w:t>The WHS review report</w:t>
      </w:r>
      <w:r w:rsidRPr="005342DA">
        <w:t xml:space="preserve"> has 34 recommendation</w:t>
      </w:r>
      <w:r w:rsidR="00DB1CC8">
        <w:t>s</w:t>
      </w:r>
      <w:r w:rsidRPr="005342DA">
        <w:t>.  Many recommendations are technical,</w:t>
      </w:r>
      <w:r w:rsidR="00991EC5">
        <w:t xml:space="preserve"> relating to inspectors’ powers</w:t>
      </w:r>
      <w:r w:rsidRPr="005342DA">
        <w:t xml:space="preserve"> or relating to specific regulations such as amusement devices and asbestos registers.  You may want to consider the WHS review report</w:t>
      </w:r>
      <w:r>
        <w:t xml:space="preserve"> </w:t>
      </w:r>
      <w:r w:rsidRPr="005342DA">
        <w:t xml:space="preserve">to help inform your submission.  The </w:t>
      </w:r>
      <w:r w:rsidRPr="00046154">
        <w:t xml:space="preserve">WHS review report </w:t>
      </w:r>
      <w:r>
        <w:t>provided by Ms Boland</w:t>
      </w:r>
      <w:r w:rsidRPr="00046154">
        <w:t xml:space="preserve"> has been published and is available </w:t>
      </w:r>
      <w:r w:rsidR="00043338">
        <w:t xml:space="preserve">from </w:t>
      </w:r>
      <w:hyperlink r:id="rId25" w:history="1">
        <w:r w:rsidR="00043338" w:rsidRPr="009E1CD7">
          <w:rPr>
            <w:rStyle w:val="Hyperlink"/>
          </w:rPr>
          <w:t>Safe Work Australia</w:t>
        </w:r>
      </w:hyperlink>
      <w:r w:rsidR="00043338">
        <w:t xml:space="preserve">. </w:t>
      </w:r>
    </w:p>
    <w:p w14:paraId="797732AF" w14:textId="69413045" w:rsidR="00A4376B" w:rsidRDefault="00A4376B" w:rsidP="004B244E"/>
    <w:p w14:paraId="6E34FC33" w14:textId="77777777" w:rsidR="00A4376B" w:rsidRPr="00A4376B" w:rsidRDefault="00A4376B" w:rsidP="00A4376B">
      <w:pPr>
        <w:rPr>
          <w:b/>
          <w:bCs/>
        </w:rPr>
      </w:pPr>
      <w:bookmarkStart w:id="16" w:name="_Toc9932667"/>
      <w:r w:rsidRPr="00A4376B">
        <w:rPr>
          <w:rFonts w:asciiTheme="majorHAnsi" w:eastAsiaTheme="majorEastAsia" w:hAnsiTheme="majorHAnsi" w:cstheme="majorBidi"/>
          <w:b/>
          <w:bCs/>
          <w:sz w:val="32"/>
          <w:szCs w:val="28"/>
        </w:rPr>
        <w:t>5</w:t>
      </w:r>
      <w:r w:rsidRPr="00A4376B">
        <w:rPr>
          <w:rFonts w:asciiTheme="majorHAnsi" w:eastAsiaTheme="majorEastAsia" w:hAnsiTheme="majorHAnsi" w:cstheme="majorBidi"/>
          <w:b/>
          <w:bCs/>
          <w:sz w:val="32"/>
          <w:szCs w:val="28"/>
        </w:rPr>
        <w:tab/>
        <w:t>Commission for Occupational Safety and Health</w:t>
      </w:r>
      <w:bookmarkEnd w:id="16"/>
    </w:p>
    <w:p w14:paraId="01BC292B" w14:textId="3234F198" w:rsidR="00A4376B" w:rsidRPr="00A4376B" w:rsidRDefault="00A4376B" w:rsidP="009106A8">
      <w:pPr>
        <w:spacing w:after="120"/>
      </w:pPr>
      <w:r w:rsidRPr="00A4376B">
        <w:t>The Commission for Occupational Safety and Health (Commission) has endorsed consideration of the following suggestions during the consultation process.  The endorsement does not necessarily reflect the view of individual members of the Commission</w:t>
      </w:r>
      <w:r w:rsidR="00991EC5">
        <w:t>. Suggestions are:</w:t>
      </w:r>
    </w:p>
    <w:p w14:paraId="2A83F4D2" w14:textId="77777777" w:rsidR="00A4376B" w:rsidRPr="00A4376B" w:rsidRDefault="00A4376B" w:rsidP="009106A8">
      <w:pPr>
        <w:numPr>
          <w:ilvl w:val="0"/>
          <w:numId w:val="40"/>
        </w:numPr>
        <w:spacing w:after="120"/>
      </w:pPr>
      <w:r w:rsidRPr="00A4376B">
        <w:t>Confined space definition (r. 5).  The definition in the model WHS regulations excludes “a mine shaft or the workings of a mine” from the definition of confined space.  Stakeholder comment is requested as to whether it is appropriate to limit the exclusion to “</w:t>
      </w:r>
      <w:r w:rsidRPr="00A4376B">
        <w:rPr>
          <w:u w:val="single"/>
        </w:rPr>
        <w:t>underground</w:t>
      </w:r>
      <w:r w:rsidRPr="00A4376B">
        <w:t xml:space="preserve"> mines”.  </w:t>
      </w:r>
    </w:p>
    <w:p w14:paraId="2353D77D" w14:textId="77777777" w:rsidR="00A4376B" w:rsidRPr="00A4376B" w:rsidRDefault="00A4376B" w:rsidP="009106A8">
      <w:pPr>
        <w:numPr>
          <w:ilvl w:val="0"/>
          <w:numId w:val="40"/>
        </w:numPr>
        <w:spacing w:after="120"/>
      </w:pPr>
      <w:r w:rsidRPr="00A4376B">
        <w:t xml:space="preserve">In relation to tree lopping, r. 221 of the model WHS regulations provides an exception for a person in a harness to be placed in a tree.  This procedure is not currently permitted under r. 4.53(2) of the OSH regulations.  Should r. 221 of the model WHS regulations be adopted in Western Australia?  </w:t>
      </w:r>
    </w:p>
    <w:p w14:paraId="627E8D8E" w14:textId="77777777" w:rsidR="00A4376B" w:rsidRPr="00A4376B" w:rsidRDefault="00A4376B" w:rsidP="009106A8">
      <w:pPr>
        <w:numPr>
          <w:ilvl w:val="0"/>
          <w:numId w:val="40"/>
        </w:numPr>
        <w:spacing w:after="120"/>
      </w:pPr>
      <w:r w:rsidRPr="00A4376B">
        <w:lastRenderedPageBreak/>
        <w:t xml:space="preserve">R. 244(3) of the model WHS regulations exempts tower and gantry cranes from design registration if the cranes are moved to a new location.  R. 4.2 of the OSH regulations currently requires the registration of the cranes and their supporting structure if moved to a new location.  Should r. 4.2 of the OSH regulations be adopted? </w:t>
      </w:r>
    </w:p>
    <w:p w14:paraId="2C0974CD" w14:textId="05D3DEB6" w:rsidR="00A4376B" w:rsidRPr="00A4376B" w:rsidRDefault="00A4376B" w:rsidP="009106A8">
      <w:pPr>
        <w:numPr>
          <w:ilvl w:val="0"/>
          <w:numId w:val="40"/>
        </w:numPr>
        <w:spacing w:after="120"/>
      </w:pPr>
      <w:r w:rsidRPr="00A4376B">
        <w:t xml:space="preserve">R. 376 of the model WHS regulations places a duty on the PCBU to provide a copy of the health monitoring report to the regulator.  </w:t>
      </w:r>
      <w:r w:rsidR="00973CAE">
        <w:t>Under</w:t>
      </w:r>
      <w:r w:rsidRPr="00A4376B">
        <w:t>, r. 5.24 of the OSH regulations</w:t>
      </w:r>
      <w:r w:rsidR="00973CAE">
        <w:t xml:space="preserve">, </w:t>
      </w:r>
      <w:r w:rsidRPr="00A4376B">
        <w:t>the duty to provide the health monitoring report to the WorkSafe Western Australia Commission</w:t>
      </w:r>
      <w:r w:rsidR="00973CAE">
        <w:t xml:space="preserve"> is</w:t>
      </w:r>
      <w:r w:rsidRPr="00A4376B">
        <w:t xml:space="preserve"> on the appointed medical practitioner who prepared the report, if the results indicate exposure.  Should r.</w:t>
      </w:r>
      <w:r w:rsidR="00973CAE">
        <w:t> </w:t>
      </w:r>
      <w:r w:rsidRPr="00A4376B">
        <w:t xml:space="preserve">5.24 of the OSH regulations be adopted?  </w:t>
      </w:r>
    </w:p>
    <w:p w14:paraId="01D2ABC0" w14:textId="77777777" w:rsidR="00A4376B" w:rsidRPr="00A4376B" w:rsidRDefault="00A4376B" w:rsidP="009106A8">
      <w:pPr>
        <w:numPr>
          <w:ilvl w:val="0"/>
          <w:numId w:val="40"/>
        </w:numPr>
        <w:spacing w:after="120"/>
      </w:pPr>
      <w:r w:rsidRPr="00A4376B">
        <w:t>R. 320 of the model WHS regulations prescribe the content of the general construction induction training (CIT) card.  Should there be a requirement that photographic identification is required on the CIT card?</w:t>
      </w:r>
    </w:p>
    <w:p w14:paraId="0A139EF9" w14:textId="77777777" w:rsidR="00A4376B" w:rsidRPr="00A4376B" w:rsidRDefault="00A4376B" w:rsidP="009106A8">
      <w:pPr>
        <w:numPr>
          <w:ilvl w:val="0"/>
          <w:numId w:val="40"/>
        </w:numPr>
        <w:spacing w:after="120"/>
      </w:pPr>
      <w:r w:rsidRPr="00A4376B">
        <w:t xml:space="preserve">R. 425 of the model WHS regulations requires a person with management or control of a workplace to ensure that an </w:t>
      </w:r>
      <w:r w:rsidRPr="00A4376B">
        <w:rPr>
          <w:bCs/>
          <w:iCs/>
        </w:rPr>
        <w:t>asbestos register</w:t>
      </w:r>
      <w:r w:rsidRPr="00A4376B">
        <w:t xml:space="preserve"> is prepared and kept at the workplace.  Should the WHS regulations for Western Australia prescribe that an asbestos register is created by a competent person?</w:t>
      </w:r>
    </w:p>
    <w:p w14:paraId="2DC66F1B" w14:textId="77777777" w:rsidR="00A4376B" w:rsidRPr="00A4376B" w:rsidRDefault="00A4376B" w:rsidP="00A4376B">
      <w:pPr>
        <w:numPr>
          <w:ilvl w:val="0"/>
          <w:numId w:val="40"/>
        </w:numPr>
      </w:pPr>
      <w:r w:rsidRPr="00A4376B">
        <w:t>The model WHS regulations, Chapter 8 in particular, include requirements relating to the management of asbestos.  Should the WHS regulations for Western Australia prescribe specific competencies for asbestos related tasks?</w:t>
      </w:r>
    </w:p>
    <w:p w14:paraId="0208DF1A" w14:textId="77777777" w:rsidR="00FC3038" w:rsidRDefault="00FC3038" w:rsidP="004B244E"/>
    <w:p w14:paraId="04E5B357" w14:textId="734A3CBC" w:rsidR="00A4376B" w:rsidRPr="00046154" w:rsidRDefault="00FC3038" w:rsidP="004B244E">
      <w:r>
        <w:t xml:space="preserve">When providing your views in relation to these matters identified by the Commission for consideration, please provide reasons for your views and supporting evidence.  </w:t>
      </w:r>
    </w:p>
    <w:p w14:paraId="5B146910" w14:textId="0558DE17" w:rsidR="004B244E" w:rsidRDefault="00A4376B" w:rsidP="004B244E">
      <w:pPr>
        <w:pStyle w:val="Heading1"/>
      </w:pPr>
      <w:bookmarkStart w:id="17" w:name="_Toc4661931"/>
      <w:bookmarkStart w:id="18" w:name="_Toc6908433"/>
      <w:r>
        <w:t>6</w:t>
      </w:r>
      <w:r w:rsidR="004B244E">
        <w:tab/>
        <w:t>Transition principles</w:t>
      </w:r>
      <w:bookmarkEnd w:id="17"/>
      <w:bookmarkEnd w:id="18"/>
    </w:p>
    <w:p w14:paraId="5B146911" w14:textId="3CAEA7C1" w:rsidR="004B244E" w:rsidRPr="00AD2B9E" w:rsidRDefault="004B244E" w:rsidP="004B244E">
      <w:pPr>
        <w:spacing w:after="120"/>
        <w:rPr>
          <w:color w:val="000000"/>
        </w:rPr>
      </w:pPr>
      <w:r w:rsidRPr="00AD2B9E">
        <w:rPr>
          <w:color w:val="000000"/>
        </w:rPr>
        <w:t xml:space="preserve">Safe Work Australia </w:t>
      </w:r>
      <w:r>
        <w:rPr>
          <w:color w:val="000000"/>
        </w:rPr>
        <w:t>published</w:t>
      </w:r>
      <w:r w:rsidRPr="00AD2B9E">
        <w:rPr>
          <w:color w:val="000000"/>
        </w:rPr>
        <w:t xml:space="preserve"> </w:t>
      </w:r>
      <w:r w:rsidRPr="000A12DB">
        <w:rPr>
          <w:color w:val="000000"/>
        </w:rPr>
        <w:t xml:space="preserve">the </w:t>
      </w:r>
      <w:hyperlink r:id="rId26" w:history="1">
        <w:r w:rsidRPr="000A12DB">
          <w:rPr>
            <w:rStyle w:val="Hyperlink"/>
          </w:rPr>
          <w:t>Model Work Health and Safety Regulations - Transition Principles</w:t>
        </w:r>
      </w:hyperlink>
      <w:r>
        <w:rPr>
          <w:color w:val="000000"/>
        </w:rPr>
        <w:t xml:space="preserve"> (SWA Transition Principles) which</w:t>
      </w:r>
      <w:r w:rsidRPr="00AD2B9E">
        <w:rPr>
          <w:color w:val="000000"/>
        </w:rPr>
        <w:t>:</w:t>
      </w:r>
    </w:p>
    <w:p w14:paraId="5B146912" w14:textId="77777777" w:rsidR="004B244E" w:rsidRPr="00AD2B9E" w:rsidRDefault="004B244E" w:rsidP="004B244E">
      <w:pPr>
        <w:pStyle w:val="ListParagraph"/>
        <w:numPr>
          <w:ilvl w:val="0"/>
          <w:numId w:val="27"/>
        </w:numPr>
        <w:spacing w:before="120" w:after="120" w:line="240" w:lineRule="auto"/>
        <w:contextualSpacing w:val="0"/>
        <w:jc w:val="both"/>
        <w:rPr>
          <w:color w:val="000000"/>
        </w:rPr>
      </w:pPr>
      <w:r w:rsidRPr="00AD2B9E">
        <w:rPr>
          <w:color w:val="000000"/>
        </w:rPr>
        <w:t xml:space="preserve">were used as guidelines by other jurisdictions when adopting the </w:t>
      </w:r>
      <w:r>
        <w:rPr>
          <w:color w:val="000000"/>
        </w:rPr>
        <w:t>model WHS regulations;</w:t>
      </w:r>
    </w:p>
    <w:p w14:paraId="5B146913" w14:textId="77777777" w:rsidR="004B244E" w:rsidRPr="00AD2B9E" w:rsidRDefault="004B244E" w:rsidP="004B244E">
      <w:pPr>
        <w:pStyle w:val="ListParagraph"/>
        <w:numPr>
          <w:ilvl w:val="0"/>
          <w:numId w:val="27"/>
        </w:numPr>
        <w:spacing w:before="120" w:after="120" w:line="240" w:lineRule="auto"/>
        <w:contextualSpacing w:val="0"/>
        <w:jc w:val="both"/>
        <w:rPr>
          <w:color w:val="000000"/>
        </w:rPr>
      </w:pPr>
      <w:r w:rsidRPr="00AD2B9E">
        <w:rPr>
          <w:color w:val="000000"/>
        </w:rPr>
        <w:t xml:space="preserve">are designed to ensure a smooth transition to the harmonised </w:t>
      </w:r>
      <w:r>
        <w:rPr>
          <w:color w:val="000000"/>
        </w:rPr>
        <w:t>WHS laws</w:t>
      </w:r>
      <w:r w:rsidRPr="00AD2B9E">
        <w:rPr>
          <w:color w:val="000000"/>
        </w:rPr>
        <w:t xml:space="preserve">; and </w:t>
      </w:r>
    </w:p>
    <w:p w14:paraId="5B146914" w14:textId="77777777" w:rsidR="004B244E" w:rsidRPr="00AD2B9E" w:rsidRDefault="004B244E" w:rsidP="004B244E">
      <w:pPr>
        <w:pStyle w:val="ListParagraph"/>
        <w:numPr>
          <w:ilvl w:val="0"/>
          <w:numId w:val="27"/>
        </w:numPr>
        <w:spacing w:before="120" w:after="240" w:line="240" w:lineRule="auto"/>
        <w:ind w:left="777" w:hanging="357"/>
        <w:contextualSpacing w:val="0"/>
        <w:jc w:val="both"/>
        <w:rPr>
          <w:color w:val="000000"/>
        </w:rPr>
      </w:pPr>
      <w:r w:rsidRPr="00AD2B9E">
        <w:rPr>
          <w:color w:val="000000"/>
        </w:rPr>
        <w:t xml:space="preserve">are proposed to be used to determine the commencement date for the WHS regulations in Western Australia.  </w:t>
      </w:r>
    </w:p>
    <w:p w14:paraId="5B146915" w14:textId="77777777" w:rsidR="004B244E" w:rsidRPr="00AD2B9E" w:rsidRDefault="004B244E" w:rsidP="004B244E">
      <w:pPr>
        <w:ind w:left="60"/>
        <w:rPr>
          <w:bCs/>
        </w:rPr>
      </w:pPr>
      <w:r>
        <w:rPr>
          <w:rFonts w:eastAsiaTheme="majorEastAsia"/>
        </w:rPr>
        <w:t xml:space="preserve">It is intended that the SWA Transition Principles will similarly apply in Western Australia during the process to adopt WHS regulations.  If you would like to make comment about the </w:t>
      </w:r>
      <w:r>
        <w:rPr>
          <w:color w:val="000000"/>
        </w:rPr>
        <w:t>SWA Transition Principles</w:t>
      </w:r>
      <w:r>
        <w:t xml:space="preserve">, </w:t>
      </w:r>
      <w:r>
        <w:rPr>
          <w:rFonts w:eastAsiaTheme="majorEastAsia"/>
        </w:rPr>
        <w:t xml:space="preserve">please include those comments with your submission.  </w:t>
      </w:r>
    </w:p>
    <w:p w14:paraId="5B146916" w14:textId="1ACDCB09" w:rsidR="004B244E" w:rsidRDefault="00A4376B" w:rsidP="004B244E">
      <w:pPr>
        <w:pStyle w:val="Heading1"/>
      </w:pPr>
      <w:bookmarkStart w:id="19" w:name="_Toc4661932"/>
      <w:bookmarkStart w:id="20" w:name="_Toc6908434"/>
      <w:r>
        <w:t>7</w:t>
      </w:r>
      <w:r w:rsidR="004B244E">
        <w:tab/>
        <w:t>Public consultation</w:t>
      </w:r>
      <w:bookmarkEnd w:id="19"/>
      <w:bookmarkEnd w:id="20"/>
      <w:r w:rsidR="004B244E">
        <w:t xml:space="preserve"> </w:t>
      </w:r>
    </w:p>
    <w:p w14:paraId="5B146917" w14:textId="1881FE3B" w:rsidR="004B244E" w:rsidRDefault="004B244E" w:rsidP="004B244E">
      <w:pPr>
        <w:spacing w:after="120" w:line="240" w:lineRule="auto"/>
        <w:rPr>
          <w:rFonts w:eastAsiaTheme="majorEastAsia"/>
        </w:rPr>
      </w:pPr>
      <w:r>
        <w:rPr>
          <w:rFonts w:eastAsiaTheme="majorEastAsia"/>
        </w:rPr>
        <w:t xml:space="preserve">The Minister has approved DMIRS commencing consultation to develop recommendations for the proposed adoption of the national model WHS regulations.  </w:t>
      </w:r>
      <w:r>
        <w:rPr>
          <w:rFonts w:eastAsiaTheme="majorEastAsia"/>
        </w:rPr>
        <w:lastRenderedPageBreak/>
        <w:t xml:space="preserve">The Minister may decide to adopt the package of WHS regulations with changes </w:t>
      </w:r>
      <w:r w:rsidR="00AE44B2">
        <w:rPr>
          <w:rFonts w:eastAsiaTheme="majorEastAsia"/>
        </w:rPr>
        <w:t>to suit Western Australia</w:t>
      </w:r>
      <w:r>
        <w:rPr>
          <w:rFonts w:eastAsiaTheme="majorEastAsia"/>
        </w:rPr>
        <w:t xml:space="preserve"> as identified during the public consultation process.  </w:t>
      </w:r>
    </w:p>
    <w:p w14:paraId="5B146918" w14:textId="77777777" w:rsidR="004B244E" w:rsidRDefault="004B244E" w:rsidP="004B244E">
      <w:pPr>
        <w:spacing w:after="120"/>
      </w:pPr>
      <w:r>
        <w:t>The public consultation period:</w:t>
      </w:r>
    </w:p>
    <w:p w14:paraId="5B146919" w14:textId="202F1DAA" w:rsidR="004B244E" w:rsidRPr="00CE478B" w:rsidRDefault="004B244E" w:rsidP="004B244E">
      <w:pPr>
        <w:pStyle w:val="ListParagraph"/>
        <w:numPr>
          <w:ilvl w:val="0"/>
          <w:numId w:val="30"/>
        </w:numPr>
        <w:spacing w:before="120" w:after="120" w:line="240" w:lineRule="auto"/>
        <w:contextualSpacing w:val="0"/>
        <w:jc w:val="both"/>
      </w:pPr>
      <w:r w:rsidRPr="00CE478B">
        <w:t xml:space="preserve">commences </w:t>
      </w:r>
      <w:r w:rsidR="001B1E30" w:rsidRPr="00CE478B">
        <w:t>26 August</w:t>
      </w:r>
      <w:r w:rsidRPr="00CE478B">
        <w:t xml:space="preserve"> 2019</w:t>
      </w:r>
    </w:p>
    <w:p w14:paraId="5B14691A" w14:textId="5A46B73A" w:rsidR="004B244E" w:rsidRPr="00CE478B" w:rsidRDefault="004B244E" w:rsidP="004B244E">
      <w:pPr>
        <w:pStyle w:val="ListParagraph"/>
        <w:numPr>
          <w:ilvl w:val="0"/>
          <w:numId w:val="30"/>
        </w:numPr>
        <w:spacing w:before="120" w:after="120" w:line="240" w:lineRule="auto"/>
        <w:jc w:val="both"/>
      </w:pPr>
      <w:r w:rsidRPr="00CE478B">
        <w:t xml:space="preserve">ends </w:t>
      </w:r>
      <w:r w:rsidR="001B1E30" w:rsidRPr="00CE478B">
        <w:t xml:space="preserve">26 November 2019.    </w:t>
      </w:r>
    </w:p>
    <w:p w14:paraId="5B14691C" w14:textId="77777777" w:rsidR="00705246" w:rsidRDefault="00705246" w:rsidP="00705246">
      <w:pPr>
        <w:rPr>
          <w:b/>
          <w:u w:val="single"/>
        </w:rPr>
      </w:pPr>
    </w:p>
    <w:p w14:paraId="5B14691D" w14:textId="77777777" w:rsidR="00705246" w:rsidRDefault="00705246" w:rsidP="001B1E30">
      <w:pPr>
        <w:spacing w:after="120" w:line="240" w:lineRule="auto"/>
        <w:rPr>
          <w:rFonts w:eastAsiaTheme="majorEastAsia"/>
        </w:rPr>
      </w:pPr>
      <w:r>
        <w:rPr>
          <w:rFonts w:eastAsiaTheme="majorEastAsia"/>
        </w:rPr>
        <w:t>In order for advice to be prepared for the Minister as requested, submissions are requested from industry stakeholders and others interested in workplace health and safety to provide comments about:</w:t>
      </w:r>
    </w:p>
    <w:p w14:paraId="5B14691E" w14:textId="0ED34850" w:rsidR="00705246" w:rsidRPr="00656337" w:rsidRDefault="00D03ECE">
      <w:pPr>
        <w:pStyle w:val="ListParagraph"/>
        <w:numPr>
          <w:ilvl w:val="0"/>
          <w:numId w:val="33"/>
        </w:numPr>
        <w:spacing w:after="120" w:line="240" w:lineRule="auto"/>
        <w:contextualSpacing w:val="0"/>
        <w:jc w:val="both"/>
        <w:rPr>
          <w:rFonts w:eastAsiaTheme="majorEastAsia"/>
        </w:rPr>
      </w:pPr>
      <w:hyperlink r:id="rId27" w:history="1">
        <w:r w:rsidR="00705246" w:rsidRPr="00656337">
          <w:rPr>
            <w:rStyle w:val="Hyperlink"/>
          </w:rPr>
          <w:t>National Model Work Health and Safety Regulations</w:t>
        </w:r>
      </w:hyperlink>
      <w:r w:rsidR="009E75B8" w:rsidRPr="00656337">
        <w:rPr>
          <w:color w:val="FF0000"/>
        </w:rPr>
        <w:t xml:space="preserve"> </w:t>
      </w:r>
    </w:p>
    <w:p w14:paraId="5B14691F" w14:textId="63601AF6" w:rsidR="00705246" w:rsidRPr="005034B1" w:rsidRDefault="00705246" w:rsidP="005034B1">
      <w:pPr>
        <w:pStyle w:val="ListParagraph"/>
        <w:numPr>
          <w:ilvl w:val="0"/>
          <w:numId w:val="33"/>
        </w:numPr>
        <w:spacing w:after="120" w:line="240" w:lineRule="auto"/>
        <w:contextualSpacing w:val="0"/>
        <w:jc w:val="both"/>
        <w:rPr>
          <w:rFonts w:eastAsiaTheme="majorEastAsia" w:cs="Times New Roman"/>
        </w:rPr>
      </w:pPr>
      <w:r w:rsidRPr="003E453E">
        <w:rPr>
          <w:rFonts w:eastAsiaTheme="majorEastAsia"/>
        </w:rPr>
        <w:t>To help facilitate the WA WHS regulations being developed</w:t>
      </w:r>
      <w:r>
        <w:t>, t</w:t>
      </w:r>
      <w:r w:rsidRPr="002D6927">
        <w:t>he Comm</w:t>
      </w:r>
      <w:r w:rsidRPr="0024392F">
        <w:t xml:space="preserve">ission </w:t>
      </w:r>
      <w:r>
        <w:t xml:space="preserve">requested that the differences </w:t>
      </w:r>
      <w:r w:rsidRPr="0024392F">
        <w:t xml:space="preserve">between </w:t>
      </w:r>
      <w:r>
        <w:t xml:space="preserve">the </w:t>
      </w:r>
      <w:r w:rsidRPr="0024392F">
        <w:t>model WHS regulations and the OSH regulations</w:t>
      </w:r>
      <w:r>
        <w:t xml:space="preserve"> be identified</w:t>
      </w:r>
      <w:r w:rsidRPr="0024392F">
        <w:t xml:space="preserve">. </w:t>
      </w:r>
      <w:r>
        <w:t xml:space="preserve"> As a result of the request, </w:t>
      </w:r>
      <w:r w:rsidR="001B1E30">
        <w:t xml:space="preserve">the </w:t>
      </w:r>
      <w:r w:rsidRPr="003E453E">
        <w:rPr>
          <w:rFonts w:eastAsiaTheme="majorEastAsia"/>
        </w:rPr>
        <w:t xml:space="preserve">document titled </w:t>
      </w:r>
      <w:hyperlink r:id="rId28" w:history="1">
        <w:r w:rsidR="003E453E" w:rsidRPr="003E453E">
          <w:rPr>
            <w:rStyle w:val="Hyperlink"/>
          </w:rPr>
          <w:t>Differences Between the national model Work Health and Safety Regulations and the Occupational Safety and Health Regulations 1996</w:t>
        </w:r>
      </w:hyperlink>
      <w:r w:rsidR="003E453E" w:rsidRPr="003E453E">
        <w:rPr>
          <w:rStyle w:val="Hyperlink"/>
        </w:rPr>
        <w:t xml:space="preserve"> </w:t>
      </w:r>
      <w:r w:rsidR="00AF3672" w:rsidRPr="00AF3672">
        <w:t>was developed.</w:t>
      </w:r>
      <w:r w:rsidRPr="003E453E">
        <w:rPr>
          <w:rFonts w:eastAsiaTheme="majorEastAsia"/>
        </w:rPr>
        <w:t xml:space="preserve">   </w:t>
      </w:r>
    </w:p>
    <w:p w14:paraId="02F58364" w14:textId="039733E6" w:rsidR="001B1E30" w:rsidRPr="007A22F2" w:rsidRDefault="00D03ECE" w:rsidP="007A22F2">
      <w:pPr>
        <w:pStyle w:val="ListParagraph"/>
        <w:numPr>
          <w:ilvl w:val="0"/>
          <w:numId w:val="33"/>
        </w:numPr>
        <w:spacing w:after="120" w:line="240" w:lineRule="auto"/>
        <w:contextualSpacing w:val="0"/>
        <w:jc w:val="both"/>
        <w:rPr>
          <w:rFonts w:eastAsiaTheme="majorEastAsia" w:cs="Times New Roman"/>
        </w:rPr>
      </w:pPr>
      <w:hyperlink r:id="rId29" w:history="1">
        <w:r w:rsidR="007A22F2" w:rsidRPr="007A22F2">
          <w:rPr>
            <w:rStyle w:val="Hyperlink"/>
          </w:rPr>
          <w:t>Proposal for Work Health and Safety (Mines) Regulations for Western Australia</w:t>
        </w:r>
      </w:hyperlink>
      <w:r w:rsidR="009E75B8" w:rsidRPr="007A22F2">
        <w:rPr>
          <w:rStyle w:val="Hyperlink"/>
        </w:rPr>
        <w:t xml:space="preserve"> </w:t>
      </w:r>
      <w:r w:rsidR="00705246" w:rsidRPr="007A22F2">
        <w:rPr>
          <w:rStyle w:val="Hyperlink"/>
        </w:rPr>
        <w:t xml:space="preserve"> </w:t>
      </w:r>
    </w:p>
    <w:p w14:paraId="5B146920" w14:textId="1101891B" w:rsidR="00705246" w:rsidRPr="001B1E30" w:rsidRDefault="00705246" w:rsidP="009106A8">
      <w:pPr>
        <w:spacing w:after="120" w:line="240" w:lineRule="auto"/>
        <w:ind w:left="720"/>
        <w:jc w:val="both"/>
        <w:rPr>
          <w:rFonts w:eastAsiaTheme="majorEastAsia"/>
        </w:rPr>
      </w:pPr>
      <w:r w:rsidRPr="001B1E30">
        <w:rPr>
          <w:rFonts w:eastAsiaTheme="majorEastAsia"/>
        </w:rPr>
        <w:t xml:space="preserve">This consultation document has been developed by DMIRS in consultation with key mining stakeholders; and </w:t>
      </w:r>
      <w:bookmarkStart w:id="21" w:name="_GoBack"/>
      <w:bookmarkEnd w:id="21"/>
    </w:p>
    <w:p w14:paraId="2C57D73E" w14:textId="2CFCB3E5" w:rsidR="00CD6ABC" w:rsidRPr="00CD6ABC" w:rsidRDefault="00D03ECE" w:rsidP="008C5DDD">
      <w:pPr>
        <w:pStyle w:val="ListParagraph"/>
        <w:numPr>
          <w:ilvl w:val="0"/>
          <w:numId w:val="33"/>
        </w:numPr>
        <w:spacing w:after="120" w:line="240" w:lineRule="auto"/>
        <w:contextualSpacing w:val="0"/>
        <w:jc w:val="both"/>
        <w:rPr>
          <w:rFonts w:eastAsiaTheme="majorEastAsia" w:cs="Times New Roman"/>
        </w:rPr>
      </w:pPr>
      <w:hyperlink r:id="rId30" w:history="1">
        <w:r w:rsidR="00F3359C" w:rsidRPr="00F3359C">
          <w:rPr>
            <w:rStyle w:val="Hyperlink"/>
          </w:rPr>
          <w:t>Proposal for Work Health and Safety (Petroleum and Geothermal Energy Operations) Regulations for Western Australia</w:t>
        </w:r>
      </w:hyperlink>
      <w:r w:rsidR="007A22F2" w:rsidRPr="00F3359C">
        <w:rPr>
          <w:rStyle w:val="Hyperlink"/>
        </w:rPr>
        <w:t xml:space="preserve"> </w:t>
      </w:r>
      <w:r w:rsidR="00CD6ABC">
        <w:rPr>
          <w:rStyle w:val="Hyperlink"/>
        </w:rPr>
        <w:t xml:space="preserve"> </w:t>
      </w:r>
      <w:r w:rsidR="00CD6ABC" w:rsidRPr="00CD6ABC">
        <w:rPr>
          <w:rStyle w:val="Hyperlink"/>
          <w:color w:val="auto"/>
        </w:rPr>
        <w:t xml:space="preserve">  </w:t>
      </w:r>
    </w:p>
    <w:p w14:paraId="5B146921" w14:textId="71CF64F6" w:rsidR="00705246" w:rsidRPr="001B1E30" w:rsidRDefault="00705246" w:rsidP="009106A8">
      <w:pPr>
        <w:spacing w:line="240" w:lineRule="auto"/>
        <w:ind w:left="720"/>
        <w:jc w:val="both"/>
        <w:rPr>
          <w:rFonts w:eastAsiaTheme="majorEastAsia"/>
        </w:rPr>
      </w:pPr>
      <w:r w:rsidRPr="001B1E30">
        <w:rPr>
          <w:rFonts w:eastAsiaTheme="majorEastAsia"/>
        </w:rPr>
        <w:t>This consultation document has been developed by DMIRS in consultation with key petroleum</w:t>
      </w:r>
      <w:r w:rsidR="00BC51EB">
        <w:rPr>
          <w:rFonts w:eastAsiaTheme="majorEastAsia"/>
        </w:rPr>
        <w:t xml:space="preserve">, </w:t>
      </w:r>
      <w:r w:rsidRPr="001B1E30">
        <w:rPr>
          <w:rFonts w:eastAsiaTheme="majorEastAsia"/>
        </w:rPr>
        <w:t>geothermal</w:t>
      </w:r>
      <w:r w:rsidR="00BC51EB">
        <w:rPr>
          <w:rFonts w:eastAsiaTheme="majorEastAsia"/>
        </w:rPr>
        <w:t xml:space="preserve"> energy and pipeline operator</w:t>
      </w:r>
      <w:r w:rsidRPr="001B1E30">
        <w:rPr>
          <w:rFonts w:eastAsiaTheme="majorEastAsia"/>
        </w:rPr>
        <w:t xml:space="preserve"> stakeholders.  </w:t>
      </w:r>
    </w:p>
    <w:p w14:paraId="5B146922" w14:textId="77777777" w:rsidR="00705246" w:rsidRPr="00285FAD" w:rsidRDefault="00705246" w:rsidP="00705246">
      <w:pPr>
        <w:rPr>
          <w:b/>
          <w:u w:val="single"/>
        </w:rPr>
      </w:pPr>
    </w:p>
    <w:p w14:paraId="5B146923" w14:textId="77777777" w:rsidR="004B244E" w:rsidRDefault="004B244E" w:rsidP="004B244E">
      <w:pPr>
        <w:pStyle w:val="Heading2"/>
      </w:pPr>
      <w:bookmarkStart w:id="22" w:name="_Toc4661933"/>
      <w:bookmarkStart w:id="23" w:name="_Toc6908435"/>
      <w:r>
        <w:t>Submissions publicly available</w:t>
      </w:r>
      <w:bookmarkEnd w:id="22"/>
      <w:bookmarkEnd w:id="23"/>
    </w:p>
    <w:p w14:paraId="5B146924" w14:textId="77777777" w:rsidR="004B244E" w:rsidRDefault="004B244E" w:rsidP="004B244E">
      <w:r>
        <w:t>All submissions will be published on the DMIRS website soon after the public comment period ends, unless you specify that your submission is confidential.</w:t>
      </w:r>
    </w:p>
    <w:p w14:paraId="5B146925" w14:textId="77777777" w:rsidR="004B244E" w:rsidRDefault="004B244E" w:rsidP="004B244E">
      <w:pPr>
        <w:pStyle w:val="Heading2"/>
      </w:pPr>
      <w:bookmarkStart w:id="24" w:name="_Toc4661934"/>
      <w:bookmarkStart w:id="25" w:name="_Toc6908436"/>
      <w:r>
        <w:t>Making a submission</w:t>
      </w:r>
      <w:bookmarkEnd w:id="24"/>
      <w:bookmarkEnd w:id="25"/>
    </w:p>
    <w:p w14:paraId="5B146926" w14:textId="77777777" w:rsidR="004B244E" w:rsidRPr="004E5255" w:rsidRDefault="004B244E" w:rsidP="004B244E">
      <w:r w:rsidRPr="004E5255">
        <w:t xml:space="preserve">The purpose of this </w:t>
      </w:r>
      <w:r>
        <w:t>Consultation Package</w:t>
      </w:r>
      <w:r w:rsidRPr="004E5255">
        <w:t xml:space="preserve"> is to encourage workplace participants, or any person interested in workplace health and safety in Western Australia, to provide comments </w:t>
      </w:r>
      <w:r>
        <w:t>about adopting the</w:t>
      </w:r>
      <w:r w:rsidRPr="004E5255">
        <w:t xml:space="preserve"> </w:t>
      </w:r>
      <w:r w:rsidRPr="00156CF8">
        <w:t xml:space="preserve">WHS </w:t>
      </w:r>
      <w:r>
        <w:t>regulations</w:t>
      </w:r>
      <w:r w:rsidRPr="004E5255">
        <w:t xml:space="preserve"> </w:t>
      </w:r>
      <w:r>
        <w:t>for</w:t>
      </w:r>
      <w:r w:rsidRPr="004E5255">
        <w:t xml:space="preserve"> Western Australia.  </w:t>
      </w:r>
    </w:p>
    <w:p w14:paraId="4612A924" w14:textId="77777777" w:rsidR="001B1E30" w:rsidRDefault="001B1E30" w:rsidP="004B244E">
      <w:pPr>
        <w:spacing w:after="120"/>
      </w:pPr>
    </w:p>
    <w:p w14:paraId="5B146927" w14:textId="7763ADE2" w:rsidR="004B244E" w:rsidRDefault="004B244E" w:rsidP="004B244E">
      <w:pPr>
        <w:spacing w:after="120"/>
      </w:pPr>
      <w:r>
        <w:t>It is important that new WHS regulations are appropriate for Western Australia.  Your views:</w:t>
      </w:r>
    </w:p>
    <w:p w14:paraId="5B146928" w14:textId="77777777" w:rsidR="004B244E" w:rsidRDefault="004B244E" w:rsidP="004B244E">
      <w:pPr>
        <w:pStyle w:val="ListParagraph"/>
        <w:numPr>
          <w:ilvl w:val="0"/>
          <w:numId w:val="35"/>
        </w:numPr>
        <w:spacing w:before="120" w:after="120" w:line="240" w:lineRule="auto"/>
        <w:ind w:hanging="357"/>
        <w:contextualSpacing w:val="0"/>
        <w:jc w:val="both"/>
      </w:pPr>
      <w:r>
        <w:t>are sought on any aspect of the national model WHS regulations and the proposals for the mining and petroleum and geothermal sectors that might impact Western Australian workplaces;</w:t>
      </w:r>
    </w:p>
    <w:p w14:paraId="5B146929" w14:textId="77777777" w:rsidR="004B244E" w:rsidRDefault="004B244E" w:rsidP="004B244E">
      <w:pPr>
        <w:pStyle w:val="ListParagraph"/>
        <w:numPr>
          <w:ilvl w:val="0"/>
          <w:numId w:val="35"/>
        </w:numPr>
        <w:spacing w:before="120" w:after="120" w:line="240" w:lineRule="auto"/>
        <w:ind w:hanging="357"/>
        <w:contextualSpacing w:val="0"/>
        <w:jc w:val="both"/>
      </w:pPr>
      <w:r>
        <w:t>can relate to:</w:t>
      </w:r>
    </w:p>
    <w:p w14:paraId="5B14692A" w14:textId="77777777" w:rsidR="004B244E" w:rsidRDefault="004B244E" w:rsidP="004B244E">
      <w:pPr>
        <w:pStyle w:val="ListParagraph"/>
        <w:numPr>
          <w:ilvl w:val="1"/>
          <w:numId w:val="35"/>
        </w:numPr>
        <w:spacing w:before="120" w:after="120" w:line="240" w:lineRule="auto"/>
        <w:ind w:hanging="357"/>
        <w:contextualSpacing w:val="0"/>
        <w:jc w:val="both"/>
      </w:pPr>
      <w:r>
        <w:t xml:space="preserve">individual regulations; </w:t>
      </w:r>
    </w:p>
    <w:p w14:paraId="5B14692B" w14:textId="77777777" w:rsidR="004B244E" w:rsidRDefault="004B244E" w:rsidP="004B244E">
      <w:pPr>
        <w:pStyle w:val="ListParagraph"/>
        <w:numPr>
          <w:ilvl w:val="1"/>
          <w:numId w:val="35"/>
        </w:numPr>
        <w:spacing w:before="120" w:after="120" w:line="240" w:lineRule="auto"/>
        <w:ind w:hanging="357"/>
        <w:contextualSpacing w:val="0"/>
        <w:jc w:val="both"/>
      </w:pPr>
      <w:r>
        <w:t>your business or daily work; and</w:t>
      </w:r>
    </w:p>
    <w:p w14:paraId="5B14692C" w14:textId="77777777" w:rsidR="004B244E" w:rsidRDefault="004B244E" w:rsidP="009106A8">
      <w:pPr>
        <w:pStyle w:val="ListParagraph"/>
        <w:numPr>
          <w:ilvl w:val="1"/>
          <w:numId w:val="35"/>
        </w:numPr>
        <w:spacing w:before="120" w:line="240" w:lineRule="auto"/>
        <w:ind w:left="1508" w:hanging="357"/>
        <w:jc w:val="both"/>
      </w:pPr>
      <w:r>
        <w:t xml:space="preserve">community related issues.  </w:t>
      </w:r>
    </w:p>
    <w:p w14:paraId="250FA364" w14:textId="77777777" w:rsidR="001B1E30" w:rsidRDefault="001B1E30" w:rsidP="004B244E">
      <w:pPr>
        <w:ind w:left="69"/>
      </w:pPr>
    </w:p>
    <w:p w14:paraId="5B14692D" w14:textId="20BA45AC" w:rsidR="004B244E" w:rsidRPr="004E5255" w:rsidRDefault="004B244E" w:rsidP="009106A8">
      <w:pPr>
        <w:spacing w:after="120"/>
        <w:ind w:left="69"/>
      </w:pPr>
      <w:r>
        <w:t>In providing your views, you might consider the following questions</w:t>
      </w:r>
      <w:r w:rsidRPr="004E5255">
        <w:t>:</w:t>
      </w:r>
    </w:p>
    <w:p w14:paraId="5B14692E" w14:textId="77777777" w:rsidR="004B244E" w:rsidRPr="00BA4D2C" w:rsidRDefault="004B244E" w:rsidP="009106A8">
      <w:pPr>
        <w:numPr>
          <w:ilvl w:val="0"/>
          <w:numId w:val="26"/>
        </w:numPr>
        <w:spacing w:after="120"/>
        <w:rPr>
          <w:lang w:val="en-US"/>
        </w:rPr>
      </w:pPr>
      <w:r w:rsidRPr="00BA4D2C">
        <w:rPr>
          <w:lang w:val="en-US"/>
        </w:rPr>
        <w:t xml:space="preserve">What is the likely cost for you, your business, </w:t>
      </w:r>
      <w:r>
        <w:rPr>
          <w:lang w:val="en-US"/>
        </w:rPr>
        <w:t>and</w:t>
      </w:r>
      <w:r w:rsidRPr="00BA4D2C">
        <w:rPr>
          <w:lang w:val="en-US"/>
        </w:rPr>
        <w:t xml:space="preserve"> the Regulator to implement a specific proposal?</w:t>
      </w:r>
    </w:p>
    <w:p w14:paraId="5B14692F" w14:textId="77777777" w:rsidR="004B244E" w:rsidRPr="00BA4D2C" w:rsidRDefault="004B244E" w:rsidP="009106A8">
      <w:pPr>
        <w:numPr>
          <w:ilvl w:val="0"/>
          <w:numId w:val="26"/>
        </w:numPr>
        <w:spacing w:after="120"/>
        <w:rPr>
          <w:lang w:val="en-US"/>
        </w:rPr>
      </w:pPr>
      <w:r w:rsidRPr="00BA4D2C">
        <w:rPr>
          <w:lang w:val="en-US"/>
        </w:rPr>
        <w:t>What is the benefit to workplace participants?</w:t>
      </w:r>
    </w:p>
    <w:p w14:paraId="5B146930" w14:textId="77777777" w:rsidR="004B244E" w:rsidRPr="00BA4D2C" w:rsidRDefault="004B244E" w:rsidP="009106A8">
      <w:pPr>
        <w:numPr>
          <w:ilvl w:val="0"/>
          <w:numId w:val="26"/>
        </w:numPr>
        <w:spacing w:after="120"/>
        <w:rPr>
          <w:lang w:val="en-US"/>
        </w:rPr>
      </w:pPr>
      <w:r w:rsidRPr="00BA4D2C">
        <w:rPr>
          <w:lang w:val="en-US"/>
        </w:rPr>
        <w:t xml:space="preserve">Is a specific recommendation likely to be effective in achieving </w:t>
      </w:r>
      <w:r>
        <w:rPr>
          <w:lang w:val="en-US"/>
        </w:rPr>
        <w:t xml:space="preserve">healthier and </w:t>
      </w:r>
      <w:r w:rsidRPr="00BA4D2C">
        <w:rPr>
          <w:lang w:val="en-US"/>
        </w:rPr>
        <w:t>safer workplaces?</w:t>
      </w:r>
    </w:p>
    <w:p w14:paraId="5B146931" w14:textId="77777777" w:rsidR="004B244E" w:rsidRPr="00BA4D2C" w:rsidRDefault="004B244E" w:rsidP="009106A8">
      <w:pPr>
        <w:numPr>
          <w:ilvl w:val="0"/>
          <w:numId w:val="26"/>
        </w:numPr>
        <w:spacing w:after="120"/>
        <w:rPr>
          <w:lang w:val="en-US"/>
        </w:rPr>
      </w:pPr>
      <w:r w:rsidRPr="00BA4D2C">
        <w:rPr>
          <w:lang w:val="en-US"/>
        </w:rPr>
        <w:t xml:space="preserve">Are there any unintended consequences of </w:t>
      </w:r>
      <w:r>
        <w:rPr>
          <w:lang w:val="en-US"/>
        </w:rPr>
        <w:t>adopting individual regulations in the model WHS regulations</w:t>
      </w:r>
      <w:r w:rsidRPr="00BA4D2C">
        <w:rPr>
          <w:lang w:val="en-US"/>
        </w:rPr>
        <w:t>?</w:t>
      </w:r>
    </w:p>
    <w:p w14:paraId="5B146932" w14:textId="77777777" w:rsidR="004B244E" w:rsidRPr="00BA4D2C" w:rsidRDefault="004B244E" w:rsidP="004B244E">
      <w:pPr>
        <w:numPr>
          <w:ilvl w:val="0"/>
          <w:numId w:val="26"/>
        </w:numPr>
        <w:spacing w:after="200"/>
        <w:rPr>
          <w:lang w:val="en-US"/>
        </w:rPr>
      </w:pPr>
      <w:r w:rsidRPr="00BA4D2C">
        <w:t>If a new requirement is proposed</w:t>
      </w:r>
      <w:r>
        <w:t xml:space="preserve"> by </w:t>
      </w:r>
      <w:r>
        <w:rPr>
          <w:lang w:val="en-US"/>
        </w:rPr>
        <w:t>the model WHS regulations</w:t>
      </w:r>
      <w:r w:rsidRPr="00BA4D2C">
        <w:t>, what are the costs and benefits?</w:t>
      </w:r>
    </w:p>
    <w:p w14:paraId="5B146933" w14:textId="77777777" w:rsidR="004B244E" w:rsidRDefault="004B244E" w:rsidP="001B1E30">
      <w:pPr>
        <w:spacing w:after="120"/>
      </w:pPr>
      <w:r>
        <w:t>Please also note:</w:t>
      </w:r>
    </w:p>
    <w:p w14:paraId="5B146934" w14:textId="61F1073C" w:rsidR="004B244E" w:rsidRDefault="004B244E" w:rsidP="009106A8">
      <w:pPr>
        <w:pStyle w:val="ListParagraph"/>
        <w:numPr>
          <w:ilvl w:val="0"/>
          <w:numId w:val="25"/>
        </w:numPr>
        <w:spacing w:after="120"/>
        <w:ind w:left="709" w:hanging="357"/>
        <w:contextualSpacing w:val="0"/>
      </w:pPr>
      <w:r>
        <w:t xml:space="preserve">These questions are there to assist you identify issues. Please do not feel restricted to these questions if you have other matters you </w:t>
      </w:r>
      <w:r w:rsidR="001B1E30">
        <w:t xml:space="preserve">would </w:t>
      </w:r>
      <w:r>
        <w:t xml:space="preserve">like to raise.  </w:t>
      </w:r>
    </w:p>
    <w:p w14:paraId="5B146935" w14:textId="13AE8C29" w:rsidR="004B244E" w:rsidRDefault="004B244E" w:rsidP="009106A8">
      <w:pPr>
        <w:pStyle w:val="ListParagraph"/>
        <w:numPr>
          <w:ilvl w:val="0"/>
          <w:numId w:val="25"/>
        </w:numPr>
        <w:spacing w:after="120"/>
        <w:ind w:left="709" w:hanging="357"/>
        <w:contextualSpacing w:val="0"/>
      </w:pPr>
      <w:r>
        <w:t>You do not have to address every regulation in the model WHS regulations</w:t>
      </w:r>
      <w:r w:rsidR="001B1E30">
        <w:t xml:space="preserve"> or proposal for the mines and petroleum and geothermal energy operations regulations</w:t>
      </w:r>
      <w:r>
        <w:t xml:space="preserve">.  </w:t>
      </w:r>
    </w:p>
    <w:p w14:paraId="5B146936" w14:textId="3244F7BC" w:rsidR="004B244E" w:rsidRDefault="004B244E" w:rsidP="004B244E">
      <w:pPr>
        <w:pStyle w:val="ListParagraph"/>
        <w:numPr>
          <w:ilvl w:val="0"/>
          <w:numId w:val="25"/>
        </w:numPr>
        <w:spacing w:before="120" w:after="240" w:line="240" w:lineRule="auto"/>
        <w:ind w:left="709" w:hanging="357"/>
        <w:contextualSpacing w:val="0"/>
        <w:jc w:val="both"/>
      </w:pPr>
      <w:r>
        <w:t xml:space="preserve">Your submission can address as many, or as few, regulations </w:t>
      </w:r>
      <w:r w:rsidR="001B1E30">
        <w:t xml:space="preserve">or proposals </w:t>
      </w:r>
      <w:r>
        <w:t xml:space="preserve">as you want.  </w:t>
      </w:r>
    </w:p>
    <w:p w14:paraId="5B146937" w14:textId="77777777" w:rsidR="004B244E" w:rsidRPr="00727298" w:rsidRDefault="004B244E" w:rsidP="004B244E">
      <w:pPr>
        <w:pStyle w:val="Heading2"/>
      </w:pPr>
      <w:bookmarkStart w:id="26" w:name="_Toc452120777"/>
      <w:bookmarkStart w:id="27" w:name="_Toc4661935"/>
      <w:bookmarkStart w:id="28" w:name="_Toc6908437"/>
      <w:r>
        <w:t>Submiss</w:t>
      </w:r>
      <w:r w:rsidRPr="00C750B0">
        <w:rPr>
          <w:rStyle w:val="Heading2Char"/>
        </w:rPr>
        <w:t>i</w:t>
      </w:r>
      <w:r>
        <w:t>on</w:t>
      </w:r>
      <w:bookmarkEnd w:id="26"/>
      <w:r>
        <w:t xml:space="preserve"> requirements</w:t>
      </w:r>
      <w:bookmarkEnd w:id="27"/>
      <w:bookmarkEnd w:id="28"/>
    </w:p>
    <w:p w14:paraId="5B146938" w14:textId="77777777" w:rsidR="004B244E" w:rsidRDefault="004B244E" w:rsidP="004B244E">
      <w:r>
        <w:t>Anyone with an interest in workplace health and safety is invited to make a submission on any matter relating to the:</w:t>
      </w:r>
    </w:p>
    <w:p w14:paraId="5B146939" w14:textId="77777777" w:rsidR="004B244E" w:rsidRPr="00DB6B51" w:rsidRDefault="004B244E" w:rsidP="004B244E">
      <w:pPr>
        <w:pStyle w:val="ListParagraph"/>
        <w:numPr>
          <w:ilvl w:val="0"/>
          <w:numId w:val="29"/>
        </w:numPr>
        <w:spacing w:before="120" w:after="120" w:line="240" w:lineRule="auto"/>
        <w:contextualSpacing w:val="0"/>
        <w:jc w:val="both"/>
        <w:rPr>
          <w:rFonts w:eastAsiaTheme="majorEastAsia"/>
          <w:color w:val="000000" w:themeColor="text1"/>
        </w:rPr>
      </w:pPr>
      <w:r w:rsidRPr="00DB6B51">
        <w:rPr>
          <w:color w:val="000000" w:themeColor="text1"/>
        </w:rPr>
        <w:t xml:space="preserve">WA </w:t>
      </w:r>
      <w:r w:rsidRPr="00DB6B51">
        <w:rPr>
          <w:rFonts w:eastAsiaTheme="majorEastAsia"/>
          <w:color w:val="000000" w:themeColor="text1"/>
        </w:rPr>
        <w:t>WHS regulations</w:t>
      </w:r>
      <w:r w:rsidRPr="00DB6B51">
        <w:rPr>
          <w:rFonts w:eastAsiaTheme="majorEastAsia"/>
          <w:i/>
          <w:color w:val="000000" w:themeColor="text1"/>
        </w:rPr>
        <w:t xml:space="preserve"> </w:t>
      </w:r>
      <w:r w:rsidRPr="00DB6B51">
        <w:rPr>
          <w:color w:val="000000" w:themeColor="text1"/>
        </w:rPr>
        <w:t>based on the model WHS regulations</w:t>
      </w:r>
      <w:r w:rsidRPr="00DB6B51">
        <w:rPr>
          <w:rFonts w:eastAsiaTheme="majorEastAsia"/>
          <w:i/>
          <w:color w:val="000000" w:themeColor="text1"/>
        </w:rPr>
        <w:t>;</w:t>
      </w:r>
      <w:r w:rsidRPr="00DB6B51">
        <w:rPr>
          <w:color w:val="000000" w:themeColor="text1"/>
        </w:rPr>
        <w:t xml:space="preserve"> </w:t>
      </w:r>
    </w:p>
    <w:p w14:paraId="5B14693A" w14:textId="77777777" w:rsidR="004B244E" w:rsidRPr="00DB6B51" w:rsidRDefault="004B244E" w:rsidP="004B244E">
      <w:pPr>
        <w:pStyle w:val="ListParagraph"/>
        <w:numPr>
          <w:ilvl w:val="0"/>
          <w:numId w:val="29"/>
        </w:numPr>
        <w:spacing w:before="120" w:after="120" w:line="240" w:lineRule="auto"/>
        <w:contextualSpacing w:val="0"/>
        <w:jc w:val="both"/>
        <w:rPr>
          <w:rFonts w:eastAsiaTheme="majorEastAsia"/>
          <w:color w:val="000000" w:themeColor="text1"/>
        </w:rPr>
      </w:pPr>
      <w:r w:rsidRPr="00DB6B51">
        <w:rPr>
          <w:color w:val="000000" w:themeColor="text1"/>
        </w:rPr>
        <w:t>WHS (</w:t>
      </w:r>
      <w:r w:rsidRPr="00DB6B51">
        <w:rPr>
          <w:rFonts w:eastAsiaTheme="majorEastAsia"/>
          <w:color w:val="000000" w:themeColor="text1"/>
        </w:rPr>
        <w:t xml:space="preserve">Mines) regulations; and </w:t>
      </w:r>
    </w:p>
    <w:p w14:paraId="5B14693B" w14:textId="77777777" w:rsidR="004B244E" w:rsidRPr="00DB6B51" w:rsidRDefault="004B244E" w:rsidP="004B244E">
      <w:pPr>
        <w:pStyle w:val="ListParagraph"/>
        <w:numPr>
          <w:ilvl w:val="0"/>
          <w:numId w:val="29"/>
        </w:numPr>
        <w:spacing w:before="120" w:after="120" w:line="240" w:lineRule="auto"/>
        <w:contextualSpacing w:val="0"/>
        <w:jc w:val="both"/>
        <w:rPr>
          <w:rFonts w:eastAsiaTheme="majorEastAsia"/>
          <w:color w:val="000000" w:themeColor="text1"/>
        </w:rPr>
      </w:pPr>
      <w:r w:rsidRPr="00DB6B51">
        <w:rPr>
          <w:color w:val="000000" w:themeColor="text1"/>
        </w:rPr>
        <w:t>WHS (Petroleum and Geothermal Energy Operations) regulations.</w:t>
      </w:r>
    </w:p>
    <w:p w14:paraId="28703446" w14:textId="4626D5FF" w:rsidR="001B1E30" w:rsidRPr="00AF3672" w:rsidRDefault="004B244E" w:rsidP="004B244E">
      <w:pPr>
        <w:rPr>
          <w:rStyle w:val="Hyperlink"/>
          <w:rFonts w:cstheme="minorBidi"/>
        </w:rPr>
      </w:pPr>
      <w:r w:rsidRPr="00CE5A09">
        <w:t xml:space="preserve">All submissions must be accompanied </w:t>
      </w:r>
      <w:r w:rsidRPr="00F3359C">
        <w:t xml:space="preserve">by </w:t>
      </w:r>
      <w:r w:rsidRPr="00F3359C">
        <w:rPr>
          <w:rStyle w:val="Hyperlink"/>
          <w:rFonts w:cstheme="minorBidi"/>
          <w:color w:val="auto"/>
          <w:u w:val="none"/>
        </w:rPr>
        <w:t xml:space="preserve">the </w:t>
      </w:r>
      <w:hyperlink r:id="rId31" w:history="1">
        <w:r w:rsidR="00AF3672" w:rsidRPr="00AF3672">
          <w:rPr>
            <w:rStyle w:val="Hyperlink"/>
            <w:rFonts w:cstheme="minorBidi"/>
          </w:rPr>
          <w:t>Coversheet Work Health and Safety Regulations Submission.</w:t>
        </w:r>
      </w:hyperlink>
    </w:p>
    <w:p w14:paraId="5AEC63B0" w14:textId="77777777" w:rsidR="00AF3672" w:rsidRDefault="00AF3672" w:rsidP="004B244E"/>
    <w:p w14:paraId="5B14693D" w14:textId="77777777" w:rsidR="004B244E" w:rsidRPr="00CE5A09" w:rsidRDefault="004B244E" w:rsidP="004B244E">
      <w:r w:rsidRPr="00CE5A09">
        <w:t xml:space="preserve">Your completed coversheet and submissions may be </w:t>
      </w:r>
      <w:r>
        <w:t>sent</w:t>
      </w:r>
      <w:r w:rsidRPr="00CE5A09">
        <w:t xml:space="preserve"> by email or mail as outlined below:</w:t>
      </w:r>
    </w:p>
    <w:p w14:paraId="5B14693E" w14:textId="77777777" w:rsidR="004B244E" w:rsidRPr="009427A3" w:rsidRDefault="004B244E" w:rsidP="004B244E">
      <w:pPr>
        <w:rPr>
          <w:b/>
        </w:rPr>
      </w:pPr>
      <w:r w:rsidRPr="009427A3">
        <w:rPr>
          <w:b/>
        </w:rPr>
        <w:t>Email:</w:t>
      </w:r>
      <w:r w:rsidRPr="009427A3">
        <w:rPr>
          <w:b/>
        </w:rPr>
        <w:tab/>
        <w:t>WHSreform@dmirs.wa.gov.au</w:t>
      </w:r>
    </w:p>
    <w:p w14:paraId="5B14693F" w14:textId="6A8C27FF" w:rsidR="004B244E" w:rsidRDefault="004B244E" w:rsidP="004B244E">
      <w:r w:rsidRPr="00CE5A09">
        <w:rPr>
          <w:b/>
        </w:rPr>
        <w:t>Mail:</w:t>
      </w:r>
      <w:r w:rsidRPr="00CE5A09">
        <w:rPr>
          <w:b/>
        </w:rPr>
        <w:tab/>
      </w:r>
      <w:r w:rsidR="00770250">
        <w:rPr>
          <w:b/>
        </w:rPr>
        <w:tab/>
      </w:r>
      <w:r>
        <w:t>WHS Reform</w:t>
      </w:r>
    </w:p>
    <w:p w14:paraId="5B146940" w14:textId="3B8FB829" w:rsidR="004B244E" w:rsidRDefault="004B244E" w:rsidP="00770250">
      <w:pPr>
        <w:ind w:left="414" w:firstLine="720"/>
      </w:pPr>
      <w:r>
        <w:t>Locked Bag 1</w:t>
      </w:r>
      <w:r w:rsidR="00415A13">
        <w:t>00</w:t>
      </w:r>
    </w:p>
    <w:p w14:paraId="5B146941" w14:textId="0E4591DA" w:rsidR="004B244E" w:rsidRDefault="00415A13" w:rsidP="00770250">
      <w:pPr>
        <w:ind w:left="414" w:firstLine="720"/>
      </w:pPr>
      <w:r>
        <w:t>EAST PERTH</w:t>
      </w:r>
      <w:r w:rsidR="004B244E" w:rsidRPr="00CE5A09">
        <w:t xml:space="preserve"> WA 68</w:t>
      </w:r>
      <w:r>
        <w:t>92</w:t>
      </w:r>
      <w:r w:rsidR="004B244E" w:rsidRPr="00CE5A09">
        <w:t xml:space="preserve"> </w:t>
      </w:r>
    </w:p>
    <w:p w14:paraId="5B146942" w14:textId="77777777" w:rsidR="004B244E" w:rsidRPr="009427A3" w:rsidRDefault="004B244E" w:rsidP="004B244E">
      <w:r w:rsidRPr="00CE5A09">
        <w:br/>
      </w:r>
      <w:r w:rsidRPr="009427A3">
        <w:t xml:space="preserve">PLEASE MARK YOUR ENVELOPE </w:t>
      </w:r>
      <w:r>
        <w:t>‘FOR</w:t>
      </w:r>
      <w:r w:rsidRPr="009427A3">
        <w:t xml:space="preserve"> THE ATTENTION OF THE </w:t>
      </w:r>
      <w:r>
        <w:t>DEPUTY DIRECTOR</w:t>
      </w:r>
      <w:r w:rsidRPr="009427A3">
        <w:t xml:space="preserve"> GENERAL, SAFETY REGULATION – SUBMISSION ON WHS </w:t>
      </w:r>
      <w:r>
        <w:t>REGULATIONS</w:t>
      </w:r>
    </w:p>
    <w:p w14:paraId="5B146943" w14:textId="65153F08" w:rsidR="004B244E" w:rsidRPr="00CE5A09" w:rsidRDefault="004B244E" w:rsidP="004B244E">
      <w:pPr>
        <w:ind w:left="709" w:hanging="709"/>
      </w:pPr>
      <w:r w:rsidRPr="00CE5A09">
        <w:lastRenderedPageBreak/>
        <w:t xml:space="preserve">Note:  </w:t>
      </w:r>
      <w:r>
        <w:tab/>
      </w:r>
      <w:r w:rsidRPr="00CE5A09">
        <w:t>All commonly accessible electronic formats will be accepted for submissions but Word documents are preferred.</w:t>
      </w:r>
    </w:p>
    <w:p w14:paraId="5B146944" w14:textId="34229636" w:rsidR="004B244E" w:rsidRDefault="00A4376B" w:rsidP="004B244E">
      <w:pPr>
        <w:pStyle w:val="Heading1"/>
      </w:pPr>
      <w:bookmarkStart w:id="29" w:name="_Toc4661936"/>
      <w:bookmarkStart w:id="30" w:name="_Toc6908438"/>
      <w:r>
        <w:t>8</w:t>
      </w:r>
      <w:r w:rsidR="004B244E">
        <w:tab/>
        <w:t xml:space="preserve">Next </w:t>
      </w:r>
      <w:r w:rsidR="004B244E" w:rsidRPr="00EC595B">
        <w:t>steps - After the public consultation period ends</w:t>
      </w:r>
      <w:bookmarkEnd w:id="29"/>
      <w:bookmarkEnd w:id="30"/>
    </w:p>
    <w:p w14:paraId="5B146945" w14:textId="77777777" w:rsidR="004B244E" w:rsidRDefault="004B244E" w:rsidP="004B244E">
      <w:pPr>
        <w:spacing w:after="240" w:line="240" w:lineRule="auto"/>
      </w:pPr>
      <w:r w:rsidRPr="00B00448">
        <w:t xml:space="preserve">After the public consultation </w:t>
      </w:r>
      <w:r w:rsidRPr="00B00448">
        <w:rPr>
          <w:rFonts w:eastAsiaTheme="majorEastAsia"/>
        </w:rPr>
        <w:t>period</w:t>
      </w:r>
      <w:r w:rsidRPr="00B00448">
        <w:t xml:space="preserve"> ends, the submissions will be provided to the Minister in order to facilitate his decision in relation to adopting the model WHS regulations in Western Australia.  </w:t>
      </w:r>
    </w:p>
    <w:p w14:paraId="5B146946" w14:textId="577B808E" w:rsidR="004B244E" w:rsidRDefault="00A4376B" w:rsidP="004B244E">
      <w:pPr>
        <w:pStyle w:val="Heading1"/>
      </w:pPr>
      <w:bookmarkStart w:id="31" w:name="_Toc4661937"/>
      <w:bookmarkStart w:id="32" w:name="_Toc6908439"/>
      <w:r>
        <w:t>9</w:t>
      </w:r>
      <w:r w:rsidR="004B244E">
        <w:tab/>
        <w:t>List of internet links in the Consultation Package</w:t>
      </w:r>
      <w:bookmarkEnd w:id="31"/>
      <w:bookmarkEnd w:id="32"/>
    </w:p>
    <w:p w14:paraId="5B146947" w14:textId="0CB801D8" w:rsidR="004B244E" w:rsidRDefault="004B244E" w:rsidP="004B244E">
      <w:r>
        <w:t>WHS Consultation Package includes a number of links to documents.  A list of the links is provided below and categorised in alphabetic</w:t>
      </w:r>
      <w:r w:rsidR="00170D8E">
        <w:t>al</w:t>
      </w:r>
      <w:r>
        <w:t xml:space="preserve"> order under the three sets of regulations.  </w:t>
      </w:r>
    </w:p>
    <w:p w14:paraId="5B146949" w14:textId="4CCA4782" w:rsidR="004B244E" w:rsidRPr="00945F04" w:rsidRDefault="004B244E" w:rsidP="00945F04">
      <w:pPr>
        <w:pStyle w:val="Heading2"/>
      </w:pPr>
      <w:bookmarkStart w:id="33" w:name="_Toc4661938"/>
      <w:bookmarkStart w:id="34" w:name="_Toc6908440"/>
      <w:r w:rsidRPr="009C5595">
        <w:t>WHS regulations applying generally to workplaces</w:t>
      </w:r>
      <w:bookmarkEnd w:id="33"/>
      <w:bookmarkEnd w:id="34"/>
    </w:p>
    <w:p w14:paraId="474A5640" w14:textId="77777777" w:rsidR="003E453E" w:rsidRPr="003E453E" w:rsidRDefault="00D03ECE" w:rsidP="003E453E">
      <w:pPr>
        <w:pStyle w:val="ListParagraph"/>
        <w:numPr>
          <w:ilvl w:val="1"/>
          <w:numId w:val="32"/>
        </w:numPr>
        <w:spacing w:after="120" w:line="240" w:lineRule="auto"/>
        <w:contextualSpacing w:val="0"/>
        <w:jc w:val="both"/>
        <w:rPr>
          <w:rStyle w:val="Hyperlink"/>
        </w:rPr>
      </w:pPr>
      <w:hyperlink r:id="rId32" w:history="1">
        <w:r w:rsidR="003E453E" w:rsidRPr="003E453E">
          <w:rPr>
            <w:rStyle w:val="Hyperlink"/>
          </w:rPr>
          <w:t>Differences Between the national model Work Health and Safety Regulations and the Occupational Safety and Health Regulations 1996</w:t>
        </w:r>
      </w:hyperlink>
    </w:p>
    <w:p w14:paraId="5B14694B" w14:textId="69119D59" w:rsidR="004B244E" w:rsidRPr="00DB6B51" w:rsidRDefault="000B03FE" w:rsidP="000B03FE">
      <w:pPr>
        <w:pStyle w:val="ListParagraph"/>
        <w:numPr>
          <w:ilvl w:val="1"/>
          <w:numId w:val="32"/>
        </w:numPr>
        <w:spacing w:after="120" w:line="240" w:lineRule="auto"/>
        <w:contextualSpacing w:val="0"/>
        <w:jc w:val="both"/>
        <w:rPr>
          <w:rFonts w:eastAsiaTheme="majorEastAsia"/>
          <w:color w:val="0000FF"/>
          <w:u w:val="single"/>
        </w:rPr>
      </w:pPr>
      <w:r>
        <w:t xml:space="preserve"> </w:t>
      </w:r>
      <w:hyperlink r:id="rId33" w:history="1">
        <w:r w:rsidR="004B244E" w:rsidRPr="00797D01">
          <w:rPr>
            <w:rStyle w:val="Hyperlink"/>
          </w:rPr>
          <w:t>National Model Work Health and Safety Regulations 15 January 2019</w:t>
        </w:r>
      </w:hyperlink>
      <w:r w:rsidR="004B244E" w:rsidRPr="00DB6B51">
        <w:rPr>
          <w:color w:val="0000FF"/>
          <w:u w:val="single"/>
        </w:rPr>
        <w:t xml:space="preserve"> </w:t>
      </w:r>
    </w:p>
    <w:p w14:paraId="5B14694C" w14:textId="608DBFC4" w:rsidR="004B244E" w:rsidRPr="00DB6B51" w:rsidRDefault="00D03ECE" w:rsidP="004B244E">
      <w:pPr>
        <w:pStyle w:val="ListParagraph"/>
        <w:numPr>
          <w:ilvl w:val="1"/>
          <w:numId w:val="32"/>
        </w:numPr>
        <w:spacing w:after="120" w:line="240" w:lineRule="auto"/>
        <w:ind w:hanging="357"/>
        <w:contextualSpacing w:val="0"/>
        <w:jc w:val="both"/>
        <w:rPr>
          <w:rFonts w:eastAsiaTheme="majorEastAsia"/>
          <w:color w:val="0000FF"/>
          <w:u w:val="single"/>
        </w:rPr>
      </w:pPr>
      <w:hyperlink r:id="rId34" w:history="1">
        <w:r w:rsidR="004B244E" w:rsidRPr="00797D01">
          <w:rPr>
            <w:rStyle w:val="Hyperlink"/>
          </w:rPr>
          <w:t>Occupational Safety and Health Regulations 1996</w:t>
        </w:r>
      </w:hyperlink>
    </w:p>
    <w:p w14:paraId="5B14694D" w14:textId="0F0F225A" w:rsidR="004B244E" w:rsidRPr="00DB6B51" w:rsidRDefault="00D03ECE" w:rsidP="004B244E">
      <w:pPr>
        <w:pStyle w:val="ListParagraph"/>
        <w:numPr>
          <w:ilvl w:val="1"/>
          <w:numId w:val="32"/>
        </w:numPr>
        <w:spacing w:after="120" w:line="240" w:lineRule="auto"/>
        <w:ind w:hanging="357"/>
        <w:contextualSpacing w:val="0"/>
        <w:jc w:val="both"/>
        <w:rPr>
          <w:rFonts w:eastAsiaTheme="majorEastAsia"/>
          <w:color w:val="0000FF"/>
          <w:u w:val="single"/>
        </w:rPr>
      </w:pPr>
      <w:hyperlink r:id="rId35" w:history="1">
        <w:r w:rsidR="004B244E" w:rsidRPr="00026494">
          <w:rPr>
            <w:rStyle w:val="Hyperlink"/>
            <w:lang w:val="en" w:eastAsia="en-AU"/>
          </w:rPr>
          <w:t>Occupational Safety and Health Amendment Regulations 2017 (Electrical Amendment Regulations)</w:t>
        </w:r>
      </w:hyperlink>
    </w:p>
    <w:p w14:paraId="2D6D6B53" w14:textId="77777777" w:rsidR="000B03FE" w:rsidRPr="000B03FE" w:rsidRDefault="00D03ECE" w:rsidP="000B03FE">
      <w:pPr>
        <w:pStyle w:val="ListParagraph"/>
        <w:numPr>
          <w:ilvl w:val="1"/>
          <w:numId w:val="32"/>
        </w:numPr>
        <w:spacing w:after="120" w:line="240" w:lineRule="auto"/>
        <w:ind w:hanging="357"/>
        <w:contextualSpacing w:val="0"/>
        <w:jc w:val="both"/>
        <w:rPr>
          <w:rStyle w:val="Hyperlink"/>
          <w:lang w:val="en" w:eastAsia="en-AU"/>
        </w:rPr>
      </w:pPr>
      <w:hyperlink r:id="rId36" w:history="1">
        <w:r w:rsidR="000B03FE" w:rsidRPr="000B03FE">
          <w:rPr>
            <w:rStyle w:val="Hyperlink"/>
            <w:lang w:val="en" w:eastAsia="en-AU"/>
          </w:rPr>
          <w:t>Occupational Safety and Health Regulations 1996 - Commercial driver fatigue – (r. 3.130 to 3.134)</w:t>
        </w:r>
      </w:hyperlink>
    </w:p>
    <w:p w14:paraId="59BB1B81" w14:textId="77777777" w:rsidR="000B03FE" w:rsidRPr="000B03FE" w:rsidRDefault="00D03ECE" w:rsidP="000B03FE">
      <w:pPr>
        <w:pStyle w:val="ListParagraph"/>
        <w:numPr>
          <w:ilvl w:val="1"/>
          <w:numId w:val="32"/>
        </w:numPr>
        <w:spacing w:after="120" w:line="240" w:lineRule="auto"/>
        <w:ind w:hanging="357"/>
        <w:contextualSpacing w:val="0"/>
        <w:jc w:val="both"/>
        <w:rPr>
          <w:rStyle w:val="Hyperlink"/>
          <w:lang w:val="en" w:eastAsia="en-AU"/>
        </w:rPr>
      </w:pPr>
      <w:hyperlink r:id="rId37" w:history="1">
        <w:r w:rsidR="000B03FE" w:rsidRPr="000B03FE">
          <w:rPr>
            <w:rStyle w:val="Hyperlink"/>
            <w:lang w:val="en" w:eastAsia="en-AU"/>
          </w:rPr>
          <w:t>Occupational Safety and Health Regulations 1996 - Demolition licensing (r. 3.114 to r. 3.129)</w:t>
        </w:r>
      </w:hyperlink>
    </w:p>
    <w:p w14:paraId="7A1B0139" w14:textId="77777777" w:rsidR="000B03FE" w:rsidRPr="000B03FE" w:rsidRDefault="00D03ECE" w:rsidP="000B03FE">
      <w:pPr>
        <w:pStyle w:val="ListParagraph"/>
        <w:numPr>
          <w:ilvl w:val="1"/>
          <w:numId w:val="32"/>
        </w:numPr>
        <w:spacing w:after="120" w:line="240" w:lineRule="auto"/>
        <w:ind w:hanging="357"/>
        <w:contextualSpacing w:val="0"/>
        <w:jc w:val="both"/>
        <w:rPr>
          <w:rStyle w:val="Hyperlink"/>
          <w:lang w:val="en" w:eastAsia="en-AU"/>
        </w:rPr>
      </w:pPr>
      <w:hyperlink r:id="rId38" w:history="1">
        <w:r w:rsidR="000B03FE" w:rsidRPr="000B03FE">
          <w:rPr>
            <w:rStyle w:val="Hyperlink"/>
            <w:lang w:val="en" w:eastAsia="en-AU"/>
          </w:rPr>
          <w:t>Occupational Safety and Health Regulations 1996 - Protection from Tobacco Smoke (r. 3.44A to 3.44I)</w:t>
        </w:r>
      </w:hyperlink>
    </w:p>
    <w:p w14:paraId="5B146952" w14:textId="790ACDFB" w:rsidR="004B244E" w:rsidRPr="00DA177B" w:rsidRDefault="000B03FE" w:rsidP="000B03FE">
      <w:pPr>
        <w:pStyle w:val="ListParagraph"/>
        <w:numPr>
          <w:ilvl w:val="1"/>
          <w:numId w:val="32"/>
        </w:numPr>
        <w:spacing w:after="120" w:line="240" w:lineRule="auto"/>
        <w:contextualSpacing w:val="0"/>
        <w:jc w:val="both"/>
        <w:rPr>
          <w:rFonts w:eastAsiaTheme="majorEastAsia"/>
          <w:color w:val="FF0000"/>
        </w:rPr>
      </w:pPr>
      <w:r>
        <w:t xml:space="preserve"> </w:t>
      </w:r>
      <w:hyperlink r:id="rId39" w:history="1">
        <w:r w:rsidR="004B244E" w:rsidRPr="00026494">
          <w:rPr>
            <w:rStyle w:val="Hyperlink"/>
          </w:rPr>
          <w:t>Transition Principles - Model Work Health and Safety Regulations, Safe Work Australia</w:t>
        </w:r>
      </w:hyperlink>
    </w:p>
    <w:p w14:paraId="5B146953" w14:textId="77777777" w:rsidR="004B244E" w:rsidRDefault="004B244E" w:rsidP="004B244E">
      <w:pPr>
        <w:pStyle w:val="Heading2"/>
      </w:pPr>
      <w:bookmarkStart w:id="35" w:name="_Toc4661939"/>
      <w:bookmarkStart w:id="36" w:name="_Toc6908441"/>
      <w:r>
        <w:t>Mining sector</w:t>
      </w:r>
      <w:bookmarkEnd w:id="35"/>
      <w:bookmarkEnd w:id="36"/>
    </w:p>
    <w:p w14:paraId="5B146954" w14:textId="12EE8017" w:rsidR="004B244E" w:rsidRPr="00DB6B51" w:rsidRDefault="00D03ECE" w:rsidP="004B244E">
      <w:pPr>
        <w:pStyle w:val="ListParagraph"/>
        <w:numPr>
          <w:ilvl w:val="1"/>
          <w:numId w:val="38"/>
        </w:numPr>
        <w:spacing w:after="120" w:line="240" w:lineRule="auto"/>
        <w:contextualSpacing w:val="0"/>
        <w:jc w:val="both"/>
        <w:rPr>
          <w:rFonts w:eastAsiaTheme="majorEastAsia"/>
          <w:color w:val="0000FF"/>
          <w:u w:val="single"/>
        </w:rPr>
      </w:pPr>
      <w:hyperlink r:id="rId40" w:history="1">
        <w:r w:rsidR="004B244E" w:rsidRPr="00026494">
          <w:rPr>
            <w:rStyle w:val="Hyperlink"/>
            <w:rFonts w:eastAsiaTheme="majorEastAsia"/>
          </w:rPr>
          <w:t>Mine Safety and Inspection Regulations 1995</w:t>
        </w:r>
      </w:hyperlink>
    </w:p>
    <w:bookmarkStart w:id="37" w:name="_Toc4661940"/>
    <w:bookmarkStart w:id="38" w:name="_Toc6908442"/>
    <w:p w14:paraId="43737451" w14:textId="77777777" w:rsidR="000B03FE" w:rsidRPr="000B03FE" w:rsidRDefault="000B03FE" w:rsidP="000B03FE">
      <w:pPr>
        <w:pStyle w:val="ListParagraph"/>
        <w:numPr>
          <w:ilvl w:val="1"/>
          <w:numId w:val="38"/>
        </w:numPr>
        <w:spacing w:after="120" w:line="240" w:lineRule="auto"/>
        <w:contextualSpacing w:val="0"/>
        <w:jc w:val="both"/>
        <w:rPr>
          <w:rStyle w:val="Hyperlink"/>
          <w:rFonts w:eastAsiaTheme="majorEastAsia"/>
        </w:rPr>
      </w:pPr>
      <w:r w:rsidRPr="000B03FE">
        <w:rPr>
          <w:rStyle w:val="Hyperlink"/>
          <w:rFonts w:eastAsiaTheme="majorEastAsia"/>
        </w:rPr>
        <w:fldChar w:fldCharType="begin"/>
      </w:r>
      <w:r w:rsidRPr="000B03FE">
        <w:rPr>
          <w:rStyle w:val="Hyperlink"/>
          <w:rFonts w:eastAsiaTheme="majorEastAsia"/>
        </w:rPr>
        <w:instrText xml:space="preserve"> HYPERLINK "http://www.commerce.wa.gov.au/sites/default/files/atoms/files/nmsf_non-core_drafting_instructions.docx" </w:instrText>
      </w:r>
      <w:r w:rsidRPr="000B03FE">
        <w:rPr>
          <w:rStyle w:val="Hyperlink"/>
          <w:rFonts w:eastAsiaTheme="majorEastAsia"/>
        </w:rPr>
        <w:fldChar w:fldCharType="separate"/>
      </w:r>
      <w:r w:rsidRPr="000B03FE">
        <w:rPr>
          <w:rStyle w:val="Hyperlink"/>
          <w:rFonts w:eastAsiaTheme="majorEastAsia"/>
        </w:rPr>
        <w:t>National Mines Safety Framework – Drafting Instructions</w:t>
      </w:r>
      <w:r w:rsidRPr="000B03FE">
        <w:rPr>
          <w:rStyle w:val="Hyperlink"/>
          <w:rFonts w:eastAsiaTheme="majorEastAsia"/>
        </w:rPr>
        <w:fldChar w:fldCharType="end"/>
      </w:r>
    </w:p>
    <w:p w14:paraId="3F4225FC" w14:textId="73127ECF" w:rsidR="000B03FE" w:rsidRPr="000B03FE" w:rsidRDefault="00D03ECE" w:rsidP="000B03FE">
      <w:pPr>
        <w:pStyle w:val="ListParagraph"/>
        <w:numPr>
          <w:ilvl w:val="1"/>
          <w:numId w:val="38"/>
        </w:numPr>
        <w:spacing w:after="120" w:line="240" w:lineRule="auto"/>
        <w:contextualSpacing w:val="0"/>
        <w:jc w:val="both"/>
        <w:rPr>
          <w:rStyle w:val="Hyperlink"/>
          <w:rFonts w:eastAsiaTheme="majorEastAsia"/>
        </w:rPr>
      </w:pPr>
      <w:hyperlink r:id="rId41" w:history="1">
        <w:r w:rsidR="000B03FE" w:rsidRPr="000B03FE">
          <w:rPr>
            <w:rStyle w:val="Hyperlink"/>
            <w:rFonts w:eastAsiaTheme="majorEastAsia"/>
          </w:rPr>
          <w:t>Proposals for Work Health and Safety (Mines) Regulations for Western Australia</w:t>
        </w:r>
      </w:hyperlink>
    </w:p>
    <w:p w14:paraId="5B146958" w14:textId="67B8173A" w:rsidR="004B244E" w:rsidRDefault="000B03FE" w:rsidP="000B03FE">
      <w:pPr>
        <w:pStyle w:val="Heading2"/>
      </w:pPr>
      <w:r>
        <w:t xml:space="preserve"> </w:t>
      </w:r>
      <w:r w:rsidR="004B244E">
        <w:t>Petroleum and Geothermal Energy Operations</w:t>
      </w:r>
      <w:bookmarkEnd w:id="37"/>
      <w:bookmarkEnd w:id="38"/>
      <w:r w:rsidR="004B244E">
        <w:t xml:space="preserve"> </w:t>
      </w:r>
    </w:p>
    <w:p w14:paraId="5B146959" w14:textId="47D1198C" w:rsidR="004B244E" w:rsidRPr="00DB6B51" w:rsidRDefault="00D03ECE" w:rsidP="004B244E">
      <w:pPr>
        <w:pStyle w:val="ListParagraph"/>
        <w:numPr>
          <w:ilvl w:val="1"/>
          <w:numId w:val="39"/>
        </w:numPr>
        <w:spacing w:before="60" w:after="120" w:line="240" w:lineRule="auto"/>
        <w:contextualSpacing w:val="0"/>
        <w:jc w:val="both"/>
        <w:rPr>
          <w:color w:val="0000FF"/>
          <w:u w:val="single"/>
          <w:lang w:eastAsia="en-AU"/>
        </w:rPr>
      </w:pPr>
      <w:hyperlink r:id="rId42" w:history="1">
        <w:r w:rsidR="004B244E" w:rsidRPr="00026494">
          <w:rPr>
            <w:rStyle w:val="Hyperlink"/>
            <w:i/>
            <w:lang w:eastAsia="en-AU"/>
          </w:rPr>
          <w:t>Petroleum and Geothermal Energy Resources Act 1967</w:t>
        </w:r>
        <w:r w:rsidR="004B244E" w:rsidRPr="00026494">
          <w:rPr>
            <w:rStyle w:val="Hyperlink"/>
            <w:lang w:eastAsia="en-AU"/>
          </w:rPr>
          <w:t xml:space="preserve">, </w:t>
        </w:r>
        <w:r w:rsidR="004B244E" w:rsidRPr="00026494">
          <w:rPr>
            <w:rStyle w:val="Hyperlink"/>
            <w:i/>
            <w:lang w:eastAsia="en-AU"/>
          </w:rPr>
          <w:t>Petroleum (Submerged Lands) Act 1982</w:t>
        </w:r>
      </w:hyperlink>
      <w:r w:rsidR="004B244E" w:rsidRPr="00DB6B51">
        <w:rPr>
          <w:color w:val="0000FF"/>
          <w:u w:val="single"/>
          <w:lang w:eastAsia="en-AU"/>
        </w:rPr>
        <w:t xml:space="preserve"> </w:t>
      </w:r>
    </w:p>
    <w:p w14:paraId="5B14695A" w14:textId="2503491D" w:rsidR="004B244E" w:rsidRPr="00DB6B51" w:rsidRDefault="00D03ECE" w:rsidP="006603CA">
      <w:pPr>
        <w:pStyle w:val="ListParagraph"/>
        <w:numPr>
          <w:ilvl w:val="1"/>
          <w:numId w:val="39"/>
        </w:numPr>
        <w:spacing w:before="60" w:after="120" w:line="240" w:lineRule="auto"/>
        <w:contextualSpacing w:val="0"/>
        <w:jc w:val="both"/>
        <w:rPr>
          <w:color w:val="0000FF"/>
          <w:u w:val="single"/>
          <w:lang w:eastAsia="en-AU"/>
        </w:rPr>
      </w:pPr>
      <w:hyperlink r:id="rId43" w:history="1">
        <w:r w:rsidR="004B244E" w:rsidRPr="006603CA">
          <w:rPr>
            <w:rStyle w:val="Hyperlink"/>
            <w:lang w:eastAsia="en-AU"/>
          </w:rPr>
          <w:t xml:space="preserve">Petroleum and Geothermal Energy </w:t>
        </w:r>
        <w:r w:rsidR="006603CA" w:rsidRPr="006603CA">
          <w:rPr>
            <w:rStyle w:val="Hyperlink"/>
            <w:lang w:eastAsia="en-AU"/>
          </w:rPr>
          <w:t xml:space="preserve">Resources </w:t>
        </w:r>
        <w:r w:rsidR="004B244E" w:rsidRPr="006603CA">
          <w:rPr>
            <w:rStyle w:val="Hyperlink"/>
            <w:lang w:eastAsia="en-AU"/>
          </w:rPr>
          <w:t>(Management of Safety) Regulations 2010</w:t>
        </w:r>
      </w:hyperlink>
    </w:p>
    <w:p w14:paraId="5B14695B" w14:textId="13DC013C" w:rsidR="004B244E" w:rsidRPr="00DB6B51" w:rsidRDefault="00D03ECE" w:rsidP="006603CA">
      <w:pPr>
        <w:pStyle w:val="ListParagraph"/>
        <w:numPr>
          <w:ilvl w:val="1"/>
          <w:numId w:val="39"/>
        </w:numPr>
        <w:spacing w:before="60" w:after="120" w:line="240" w:lineRule="auto"/>
        <w:contextualSpacing w:val="0"/>
        <w:jc w:val="both"/>
        <w:rPr>
          <w:color w:val="0000FF"/>
          <w:u w:val="single"/>
          <w:lang w:eastAsia="en-AU"/>
        </w:rPr>
      </w:pPr>
      <w:hyperlink r:id="rId44" w:history="1">
        <w:r w:rsidR="004B244E" w:rsidRPr="006603CA">
          <w:rPr>
            <w:rStyle w:val="Hyperlink"/>
            <w:lang w:eastAsia="en-AU"/>
          </w:rPr>
          <w:t xml:space="preserve">Petroleum and Geothermal Energy </w:t>
        </w:r>
        <w:r w:rsidR="006603CA" w:rsidRPr="006603CA">
          <w:rPr>
            <w:rStyle w:val="Hyperlink"/>
            <w:lang w:eastAsia="en-AU"/>
          </w:rPr>
          <w:t xml:space="preserve">Resources </w:t>
        </w:r>
        <w:r w:rsidR="004B244E" w:rsidRPr="006603CA">
          <w:rPr>
            <w:rStyle w:val="Hyperlink"/>
            <w:lang w:eastAsia="en-AU"/>
          </w:rPr>
          <w:t>(Occupational Safety and Health) Regulations 2010</w:t>
        </w:r>
      </w:hyperlink>
    </w:p>
    <w:p w14:paraId="5B14695C" w14:textId="00E8D53F" w:rsidR="004B244E" w:rsidRPr="00DB6B51" w:rsidRDefault="00D03ECE" w:rsidP="004B244E">
      <w:pPr>
        <w:pStyle w:val="ListParagraph"/>
        <w:numPr>
          <w:ilvl w:val="1"/>
          <w:numId w:val="39"/>
        </w:numPr>
        <w:spacing w:before="60" w:after="120" w:line="240" w:lineRule="auto"/>
        <w:contextualSpacing w:val="0"/>
        <w:jc w:val="both"/>
        <w:rPr>
          <w:color w:val="0000FF"/>
          <w:u w:val="single"/>
          <w:lang w:eastAsia="en-AU"/>
        </w:rPr>
      </w:pPr>
      <w:hyperlink r:id="rId45" w:history="1">
        <w:r w:rsidR="004B244E" w:rsidRPr="006603CA">
          <w:rPr>
            <w:rStyle w:val="Hyperlink"/>
            <w:i/>
            <w:lang w:eastAsia="en-AU"/>
          </w:rPr>
          <w:t>Petroleum Pipelines Act 1969</w:t>
        </w:r>
      </w:hyperlink>
    </w:p>
    <w:p w14:paraId="5B14695D" w14:textId="71CDD7CC" w:rsidR="004B244E" w:rsidRPr="00DB6B51" w:rsidRDefault="00D03ECE" w:rsidP="004B244E">
      <w:pPr>
        <w:pStyle w:val="ListParagraph"/>
        <w:numPr>
          <w:ilvl w:val="1"/>
          <w:numId w:val="39"/>
        </w:numPr>
        <w:spacing w:before="60" w:after="120" w:line="240" w:lineRule="auto"/>
        <w:contextualSpacing w:val="0"/>
        <w:jc w:val="both"/>
        <w:rPr>
          <w:color w:val="0000FF"/>
          <w:u w:val="single"/>
          <w:lang w:eastAsia="en-AU"/>
        </w:rPr>
      </w:pPr>
      <w:hyperlink r:id="rId46" w:history="1">
        <w:r w:rsidR="004B244E" w:rsidRPr="006603CA">
          <w:rPr>
            <w:rStyle w:val="Hyperlink"/>
            <w:lang w:eastAsia="en-AU"/>
          </w:rPr>
          <w:t>Petroleum Pipelines (Occupational Safety and Health) Regulations 2010</w:t>
        </w:r>
      </w:hyperlink>
    </w:p>
    <w:p w14:paraId="5B14695E" w14:textId="5DE60709" w:rsidR="004B244E" w:rsidRPr="00DB6B51" w:rsidRDefault="00D03ECE" w:rsidP="004B244E">
      <w:pPr>
        <w:pStyle w:val="ListParagraph"/>
        <w:numPr>
          <w:ilvl w:val="1"/>
          <w:numId w:val="39"/>
        </w:numPr>
        <w:spacing w:before="60" w:after="120" w:line="240" w:lineRule="auto"/>
        <w:contextualSpacing w:val="0"/>
        <w:jc w:val="both"/>
        <w:rPr>
          <w:i/>
          <w:color w:val="0000FF"/>
          <w:u w:val="single"/>
          <w:lang w:eastAsia="en-AU"/>
        </w:rPr>
      </w:pPr>
      <w:hyperlink r:id="rId47" w:history="1">
        <w:r w:rsidR="004B244E" w:rsidRPr="002D2D57">
          <w:rPr>
            <w:rStyle w:val="Hyperlink"/>
            <w:i/>
          </w:rPr>
          <w:t>Petroleum (Submerged Lands) Act 1982</w:t>
        </w:r>
      </w:hyperlink>
    </w:p>
    <w:p w14:paraId="5B14695F" w14:textId="5B44E321" w:rsidR="004B244E" w:rsidRPr="00DB6B51" w:rsidRDefault="00D03ECE" w:rsidP="004B244E">
      <w:pPr>
        <w:pStyle w:val="ListParagraph"/>
        <w:numPr>
          <w:ilvl w:val="1"/>
          <w:numId w:val="39"/>
        </w:numPr>
        <w:spacing w:before="60" w:after="120" w:line="240" w:lineRule="auto"/>
        <w:contextualSpacing w:val="0"/>
        <w:jc w:val="both"/>
        <w:rPr>
          <w:color w:val="0000FF"/>
          <w:u w:val="single"/>
          <w:lang w:eastAsia="en-AU"/>
        </w:rPr>
      </w:pPr>
      <w:hyperlink r:id="rId48" w:history="1">
        <w:r w:rsidR="004B244E" w:rsidRPr="002D2D57">
          <w:rPr>
            <w:rStyle w:val="Hyperlink"/>
            <w:lang w:eastAsia="en-AU"/>
          </w:rPr>
          <w:t>Petroleum (Submerged Lands)(Management of Safety on Offshore Facilities) Regulations 2007</w:t>
        </w:r>
      </w:hyperlink>
    </w:p>
    <w:p w14:paraId="5B146960" w14:textId="2D04ABD6" w:rsidR="004B244E" w:rsidRPr="00DB6B51" w:rsidRDefault="00D03ECE" w:rsidP="004B244E">
      <w:pPr>
        <w:pStyle w:val="ListParagraph"/>
        <w:numPr>
          <w:ilvl w:val="1"/>
          <w:numId w:val="39"/>
        </w:numPr>
        <w:spacing w:before="60" w:after="120" w:line="240" w:lineRule="auto"/>
        <w:contextualSpacing w:val="0"/>
        <w:jc w:val="both"/>
        <w:rPr>
          <w:color w:val="0000FF"/>
          <w:u w:val="single"/>
          <w:lang w:eastAsia="en-AU"/>
        </w:rPr>
      </w:pPr>
      <w:hyperlink r:id="rId49" w:history="1">
        <w:r w:rsidR="004B244E" w:rsidRPr="00026494">
          <w:rPr>
            <w:rStyle w:val="Hyperlink"/>
            <w:lang w:eastAsia="en-AU"/>
          </w:rPr>
          <w:t>Petroleum (Submerged Lands)(Pipelines) Regulations 2007</w:t>
        </w:r>
      </w:hyperlink>
    </w:p>
    <w:p w14:paraId="5B146961" w14:textId="71428746" w:rsidR="004B244E" w:rsidRPr="00DB6B51" w:rsidRDefault="00D03ECE" w:rsidP="004B244E">
      <w:pPr>
        <w:pStyle w:val="ListParagraph"/>
        <w:numPr>
          <w:ilvl w:val="1"/>
          <w:numId w:val="39"/>
        </w:numPr>
        <w:spacing w:before="60" w:after="120" w:line="240" w:lineRule="auto"/>
        <w:contextualSpacing w:val="0"/>
        <w:jc w:val="both"/>
        <w:rPr>
          <w:color w:val="0000FF"/>
          <w:u w:val="single"/>
          <w:lang w:eastAsia="en-AU"/>
        </w:rPr>
      </w:pPr>
      <w:hyperlink r:id="rId50" w:history="1">
        <w:r w:rsidR="004B244E" w:rsidRPr="004B7C4A">
          <w:rPr>
            <w:rStyle w:val="Hyperlink"/>
            <w:lang w:eastAsia="en-AU"/>
          </w:rPr>
          <w:t>Petroleum (Submerged Lands)(Diving Safety) Regulations 2007</w:t>
        </w:r>
      </w:hyperlink>
    </w:p>
    <w:p w14:paraId="5B146962" w14:textId="30C1F641" w:rsidR="004B244E" w:rsidRPr="00DB6B51" w:rsidRDefault="00D03ECE" w:rsidP="004B244E">
      <w:pPr>
        <w:pStyle w:val="ListParagraph"/>
        <w:numPr>
          <w:ilvl w:val="1"/>
          <w:numId w:val="39"/>
        </w:numPr>
        <w:spacing w:before="60" w:after="120" w:line="240" w:lineRule="auto"/>
        <w:contextualSpacing w:val="0"/>
        <w:jc w:val="both"/>
        <w:rPr>
          <w:color w:val="0000FF"/>
          <w:u w:val="single"/>
          <w:lang w:eastAsia="en-AU"/>
        </w:rPr>
      </w:pPr>
      <w:hyperlink r:id="rId51" w:history="1">
        <w:r w:rsidR="004B244E" w:rsidRPr="004B7C4A">
          <w:rPr>
            <w:rStyle w:val="Hyperlink"/>
            <w:lang w:eastAsia="en-AU"/>
          </w:rPr>
          <w:t>Petroleum (Submerged Lands)(Occupational Safety and Health) Regulations 2007</w:t>
        </w:r>
      </w:hyperlink>
    </w:p>
    <w:p w14:paraId="5B146963" w14:textId="3BD1BD77" w:rsidR="004B244E" w:rsidRPr="00DB6B51" w:rsidRDefault="00D03ECE" w:rsidP="004B244E">
      <w:pPr>
        <w:pStyle w:val="ListParagraph"/>
        <w:numPr>
          <w:ilvl w:val="1"/>
          <w:numId w:val="39"/>
        </w:numPr>
        <w:spacing w:before="60" w:after="120" w:line="240" w:lineRule="auto"/>
        <w:contextualSpacing w:val="0"/>
        <w:jc w:val="both"/>
        <w:rPr>
          <w:color w:val="0000FF"/>
          <w:u w:val="single"/>
          <w:lang w:eastAsia="en-AU"/>
        </w:rPr>
      </w:pPr>
      <w:hyperlink r:id="rId52" w:history="1">
        <w:r w:rsidR="004B244E" w:rsidRPr="004B7C4A">
          <w:rPr>
            <w:rStyle w:val="Hyperlink"/>
            <w:lang w:eastAsia="en-AU"/>
          </w:rPr>
          <w:t>Petroleum Pipelines (Management of Safety of Pipeline Operations) Regulations 2010</w:t>
        </w:r>
      </w:hyperlink>
    </w:p>
    <w:p w14:paraId="5B146966" w14:textId="1252BE92" w:rsidR="005823D1" w:rsidRPr="007A22F2" w:rsidRDefault="007A22F2" w:rsidP="007A22F2">
      <w:pPr>
        <w:pStyle w:val="ListParagraph"/>
        <w:numPr>
          <w:ilvl w:val="1"/>
          <w:numId w:val="39"/>
        </w:numPr>
        <w:spacing w:before="60" w:after="120" w:line="240" w:lineRule="auto"/>
        <w:contextualSpacing w:val="0"/>
        <w:jc w:val="both"/>
        <w:rPr>
          <w:rStyle w:val="Hyperlink"/>
          <w:rFonts w:ascii="Segoe UI" w:eastAsiaTheme="majorEastAsia" w:hAnsi="Segoe UI" w:cs="Segoe UI"/>
        </w:rPr>
      </w:pPr>
      <w:r>
        <w:rPr>
          <w:rStyle w:val="Hyperlink"/>
          <w:rFonts w:ascii="Segoe UI" w:eastAsiaTheme="majorEastAsia" w:hAnsi="Segoe UI" w:cs="Segoe UI"/>
          <w:color w:val="313030"/>
        </w:rPr>
        <w:fldChar w:fldCharType="begin"/>
      </w:r>
      <w:r w:rsidR="00F3359C">
        <w:rPr>
          <w:rStyle w:val="Hyperlink"/>
          <w:rFonts w:ascii="Segoe UI" w:eastAsiaTheme="majorEastAsia" w:hAnsi="Segoe UI" w:cs="Segoe UI"/>
          <w:color w:val="313030"/>
        </w:rPr>
        <w:instrText>HYPERLINK "https://www.commerce.wa.gov.au/sites/default/files/atoms/files/002237.safety.comms__0.docx"</w:instrText>
      </w:r>
      <w:r>
        <w:rPr>
          <w:rStyle w:val="Hyperlink"/>
          <w:rFonts w:ascii="Segoe UI" w:eastAsiaTheme="majorEastAsia" w:hAnsi="Segoe UI" w:cs="Segoe UI"/>
          <w:color w:val="313030"/>
        </w:rPr>
        <w:fldChar w:fldCharType="separate"/>
      </w:r>
      <w:r w:rsidRPr="007A22F2">
        <w:rPr>
          <w:rStyle w:val="Hyperlink"/>
          <w:rFonts w:ascii="Segoe UI" w:eastAsiaTheme="majorEastAsia" w:hAnsi="Segoe UI" w:cs="Segoe UI"/>
        </w:rPr>
        <w:t>Proposals for Work Health and Safety (Petroleum and Geothermal Energy Operations) Regulations for Western Australia</w:t>
      </w:r>
    </w:p>
    <w:p w14:paraId="5B146967" w14:textId="05D2C666" w:rsidR="00F42B9C" w:rsidRPr="004F6AB4" w:rsidRDefault="007A22F2" w:rsidP="0089115D">
      <w:pPr>
        <w:pStyle w:val="BodyText"/>
      </w:pPr>
      <w:r>
        <w:rPr>
          <w:rStyle w:val="Hyperlink"/>
          <w:rFonts w:ascii="Segoe UI" w:eastAsiaTheme="majorEastAsia" w:hAnsi="Segoe UI" w:cs="Segoe UI"/>
          <w:color w:val="313030"/>
        </w:rPr>
        <w:fldChar w:fldCharType="end"/>
      </w:r>
    </w:p>
    <w:sectPr w:rsidR="00F42B9C" w:rsidRPr="004F6AB4" w:rsidSect="00CB5139">
      <w:headerReference w:type="even" r:id="rId53"/>
      <w:headerReference w:type="default" r:id="rId54"/>
      <w:footerReference w:type="even" r:id="rId55"/>
      <w:footerReference w:type="default" r:id="rId56"/>
      <w:headerReference w:type="first" r:id="rId57"/>
      <w:footerReference w:type="first" r:id="rId58"/>
      <w:pgSz w:w="11907" w:h="16840"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FFCAC" w14:textId="77777777" w:rsidR="00D03ECE" w:rsidRDefault="00D03ECE" w:rsidP="00A4382C">
      <w:pPr>
        <w:spacing w:line="240" w:lineRule="auto"/>
      </w:pPr>
      <w:r>
        <w:separator/>
      </w:r>
    </w:p>
  </w:endnote>
  <w:endnote w:type="continuationSeparator" w:id="0">
    <w:p w14:paraId="058007F9" w14:textId="77777777" w:rsidR="00D03ECE" w:rsidRDefault="00D03ECE" w:rsidP="00A4382C">
      <w:pPr>
        <w:spacing w:line="240" w:lineRule="auto"/>
      </w:pPr>
      <w:r>
        <w:continuationSeparator/>
      </w:r>
    </w:p>
  </w:endnote>
  <w:endnote w:type="continuationNotice" w:id="1">
    <w:p w14:paraId="7789E37C" w14:textId="77777777" w:rsidR="00D03ECE" w:rsidRDefault="00D03E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46974" w14:textId="77777777" w:rsidR="00AD7FB4" w:rsidRDefault="00AD7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46975" w14:textId="41134AF9" w:rsidR="00AD7FB4" w:rsidRPr="00674200" w:rsidRDefault="00AD7FB4" w:rsidP="00AD7FB4">
    <w:pPr>
      <w:pStyle w:val="Footer"/>
      <w:framePr w:w="567" w:wrap="around" w:vAnchor="page" w:hAnchor="page" w:x="10741" w:y="15586"/>
      <w:jc w:val="right"/>
      <w:rPr>
        <w:rStyle w:val="PageNumber"/>
        <w:rFonts w:cstheme="minorHAnsi"/>
        <w:sz w:val="30"/>
      </w:rPr>
    </w:pPr>
    <w:r w:rsidRPr="00674200">
      <w:rPr>
        <w:rStyle w:val="PageNumber"/>
        <w:rFonts w:cstheme="minorHAnsi"/>
        <w:sz w:val="30"/>
      </w:rPr>
      <w:fldChar w:fldCharType="begin"/>
    </w:r>
    <w:r w:rsidRPr="00674200">
      <w:rPr>
        <w:rStyle w:val="PageNumber"/>
        <w:rFonts w:cstheme="minorHAnsi"/>
        <w:sz w:val="30"/>
      </w:rPr>
      <w:instrText xml:space="preserve">PAGE  </w:instrText>
    </w:r>
    <w:r w:rsidRPr="00674200">
      <w:rPr>
        <w:rStyle w:val="PageNumber"/>
        <w:rFonts w:cstheme="minorHAnsi"/>
        <w:sz w:val="30"/>
      </w:rPr>
      <w:fldChar w:fldCharType="separate"/>
    </w:r>
    <w:r>
      <w:rPr>
        <w:rStyle w:val="PageNumber"/>
        <w:rFonts w:cstheme="minorHAnsi"/>
        <w:noProof/>
        <w:sz w:val="30"/>
      </w:rPr>
      <w:t>1</w:t>
    </w:r>
    <w:r w:rsidRPr="00674200">
      <w:rPr>
        <w:rStyle w:val="PageNumber"/>
        <w:rFonts w:cstheme="minorHAnsi"/>
        <w:sz w:val="30"/>
      </w:rPr>
      <w:fldChar w:fldCharType="end"/>
    </w:r>
  </w:p>
  <w:p w14:paraId="5B146976" w14:textId="77777777" w:rsidR="00AD7FB4" w:rsidRDefault="00AD7FB4">
    <w:pPr>
      <w:pStyle w:val="Footer"/>
    </w:pPr>
    <w:r>
      <w:rPr>
        <w:noProof/>
        <w:color w:val="385479"/>
        <w:sz w:val="14"/>
        <w:szCs w:val="14"/>
        <w:lang w:eastAsia="en-AU"/>
      </w:rPr>
      <mc:AlternateContent>
        <mc:Choice Requires="wps">
          <w:drawing>
            <wp:anchor distT="0" distB="0" distL="114300" distR="114300" simplePos="0" relativeHeight="251659264" behindDoc="1" locked="0" layoutInCell="1" allowOverlap="1" wp14:anchorId="5B146981" wp14:editId="5B146982">
              <wp:simplePos x="0" y="0"/>
              <wp:positionH relativeFrom="page">
                <wp:posOffset>567055</wp:posOffset>
              </wp:positionH>
              <wp:positionV relativeFrom="page">
                <wp:posOffset>10146030</wp:posOffset>
              </wp:positionV>
              <wp:extent cx="6629400" cy="71755"/>
              <wp:effectExtent l="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1755"/>
                      </a:xfrm>
                      <a:prstGeom prst="rect">
                        <a:avLst/>
                      </a:prstGeom>
                      <a:solidFill>
                        <a:srgbClr val="561B1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46987" w14:textId="77777777" w:rsidR="00AD7FB4" w:rsidRPr="00DC67BB" w:rsidRDefault="00AD7FB4" w:rsidP="00AD7FB4">
                          <w:pPr>
                            <w:pStyle w:val="Footer"/>
                            <w:jc w:val="right"/>
                            <w:rPr>
                              <w:rStyle w:val="PageNumber"/>
                              <w:rFonts w:ascii="Trebuchet MS" w:hAnsi="Trebuchet MS"/>
                              <w:sz w:val="30"/>
                            </w:rPr>
                          </w:pPr>
                          <w:r w:rsidRPr="00DC67BB">
                            <w:rPr>
                              <w:rStyle w:val="PageNumber"/>
                              <w:sz w:val="30"/>
                            </w:rPr>
                            <w:fldChar w:fldCharType="begin"/>
                          </w:r>
                          <w:r w:rsidRPr="00DC67BB">
                            <w:rPr>
                              <w:rStyle w:val="PageNumber"/>
                              <w:rFonts w:ascii="Trebuchet MS" w:hAnsi="Trebuchet MS"/>
                              <w:sz w:val="30"/>
                            </w:rPr>
                            <w:instrText xml:space="preserve">PAGE  </w:instrText>
                          </w:r>
                          <w:r w:rsidRPr="00DC67BB">
                            <w:rPr>
                              <w:rStyle w:val="PageNumber"/>
                              <w:sz w:val="30"/>
                            </w:rPr>
                            <w:fldChar w:fldCharType="separate"/>
                          </w:r>
                          <w:r>
                            <w:rPr>
                              <w:rStyle w:val="PageNumber"/>
                              <w:rFonts w:ascii="Trebuchet MS" w:hAnsi="Trebuchet MS"/>
                              <w:noProof/>
                              <w:sz w:val="30"/>
                            </w:rPr>
                            <w:t>2</w:t>
                          </w:r>
                          <w:r w:rsidRPr="00DC67BB">
                            <w:rPr>
                              <w:rStyle w:val="PageNumber"/>
                              <w:sz w:val="3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46981" id="Rectangle 3" o:spid="_x0000_s1026" style="position:absolute;margin-left:44.65pt;margin-top:798.9pt;width:522pt;height: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" fillcolor="#561b17" stroked="f">
              <v:textbox>
                <w:txbxContent>
                  <w:p w14:paraId="5B146987" w14:textId="77777777" w:rsidR="00AD7FB4" w:rsidRPr="00DC67BB" w:rsidRDefault="00AD7FB4" w:rsidP="00AD7FB4">
                    <w:pPr>
                      <w:pStyle w:val="Footer"/>
                      <w:jc w:val="right"/>
                      <w:rPr>
                        <w:rStyle w:val="PageNumber"/>
                        <w:rFonts w:ascii="Trebuchet MS" w:hAnsi="Trebuchet MS"/>
                        <w:sz w:val="30"/>
                      </w:rPr>
                    </w:pPr>
                    <w:r w:rsidRPr="00DC67BB">
                      <w:rPr>
                        <w:rStyle w:val="PageNumber"/>
                        <w:sz w:val="30"/>
                      </w:rPr>
                      <w:fldChar w:fldCharType="begin"/>
                    </w:r>
                    <w:r w:rsidRPr="00DC67BB">
                      <w:rPr>
                        <w:rStyle w:val="PageNumber"/>
                        <w:rFonts w:ascii="Trebuchet MS" w:hAnsi="Trebuchet MS"/>
                        <w:sz w:val="30"/>
                      </w:rPr>
                      <w:instrText xml:space="preserve">PAGE  </w:instrText>
                    </w:r>
                    <w:r w:rsidRPr="00DC67BB">
                      <w:rPr>
                        <w:rStyle w:val="PageNumber"/>
                        <w:sz w:val="30"/>
                      </w:rPr>
                      <w:fldChar w:fldCharType="separate"/>
                    </w:r>
                    <w:r>
                      <w:rPr>
                        <w:rStyle w:val="PageNumber"/>
                        <w:rFonts w:ascii="Trebuchet MS" w:hAnsi="Trebuchet MS"/>
                        <w:noProof/>
                        <w:sz w:val="30"/>
                      </w:rPr>
                      <w:t>2</w:t>
                    </w:r>
                    <w:r w:rsidRPr="00DC67BB">
                      <w:rPr>
                        <w:rStyle w:val="PageNumber"/>
                        <w:sz w:val="30"/>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46978" w14:textId="77777777" w:rsidR="00AD7FB4" w:rsidRDefault="00AD7FB4" w:rsidP="00AD7FB4">
    <w:pPr>
      <w:pStyle w:val="Footer"/>
      <w:ind w:right="-578"/>
    </w:pPr>
    <w:r>
      <w:rPr>
        <w:noProof/>
        <w:lang w:eastAsia="en-AU"/>
      </w:rPr>
      <w:drawing>
        <wp:inline distT="0" distB="0" distL="0" distR="0" wp14:anchorId="5B146985" wp14:editId="5B146986">
          <wp:extent cx="6840855" cy="546165"/>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_cover_footer.jpg"/>
                  <pic:cNvPicPr/>
                </pic:nvPicPr>
                <pic:blipFill>
                  <a:blip r:embed="rId1">
                    <a:extLst>
                      <a:ext uri="{28A0092B-C50C-407E-A947-70E740481C1C}">
                        <a14:useLocalDpi xmlns:a14="http://schemas.microsoft.com/office/drawing/2010/main" val="0"/>
                      </a:ext>
                    </a:extLst>
                  </a:blip>
                  <a:stretch>
                    <a:fillRect/>
                  </a:stretch>
                </pic:blipFill>
                <pic:spPr>
                  <a:xfrm>
                    <a:off x="0" y="0"/>
                    <a:ext cx="6840855" cy="546165"/>
                  </a:xfrm>
                  <a:prstGeom prst="rect">
                    <a:avLst/>
                  </a:prstGeom>
                </pic:spPr>
              </pic:pic>
            </a:graphicData>
          </a:graphic>
        </wp:inline>
      </w:drawing>
    </w:r>
  </w:p>
  <w:p w14:paraId="5B146979" w14:textId="77777777" w:rsidR="00AD7FB4" w:rsidRDefault="00AD7FB4" w:rsidP="00AD7FB4">
    <w:pPr>
      <w:pStyle w:val="Footer"/>
      <w:ind w:right="-578"/>
    </w:pPr>
  </w:p>
  <w:p w14:paraId="5B14697A" w14:textId="77777777" w:rsidR="00AD7FB4" w:rsidRDefault="00AD7FB4" w:rsidP="00AD7FB4">
    <w:pPr>
      <w:pStyle w:val="Footer"/>
      <w:ind w:right="-57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4697D" w14:textId="77777777" w:rsidR="00AD7FB4" w:rsidRDefault="00AD7F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4697E" w14:textId="5A767972" w:rsidR="00AD7FB4" w:rsidRPr="00CC5FB3" w:rsidRDefault="00D03ECE" w:rsidP="00CC5FB3">
    <w:pPr>
      <w:pStyle w:val="Footer"/>
      <w:rPr>
        <w:szCs w:val="16"/>
      </w:rPr>
    </w:pPr>
    <w:sdt>
      <w:sdtPr>
        <w:rPr>
          <w:szCs w:val="16"/>
        </w:rPr>
        <w:alias w:val="Report Title"/>
        <w:tag w:val="DT_Report_Title"/>
        <w:id w:val="-41522358"/>
        <w:placeholder>
          <w:docPart w:val="BC005311BAE04B6B9C85EACADD9EAC77"/>
        </w:placeholder>
        <w:text/>
      </w:sdtPr>
      <w:sdtEndPr/>
      <w:sdtContent>
        <w:r w:rsidR="00D256C7">
          <w:rPr>
            <w:szCs w:val="16"/>
          </w:rPr>
          <w:t>Review Process Summary – Develop Work Health and Safety Regulations for Western Australia</w:t>
        </w:r>
      </w:sdtContent>
    </w:sdt>
    <w:r w:rsidR="00DB6B51">
      <w:rPr>
        <w:szCs w:val="16"/>
      </w:rPr>
      <w:t xml:space="preserve"> </w:t>
    </w:r>
    <w:r w:rsidR="00F23DC0">
      <w:rPr>
        <w:szCs w:val="16"/>
      </w:rPr>
      <w:tab/>
    </w:r>
    <w:r w:rsidR="00F23DC0">
      <w:rPr>
        <w:szCs w:val="16"/>
      </w:rPr>
      <w:tab/>
    </w:r>
    <w:r w:rsidR="009660B1" w:rsidRPr="009660B1">
      <w:rPr>
        <w:szCs w:val="16"/>
      </w:rPr>
      <w:t xml:space="preserve">Page </w:t>
    </w:r>
    <w:r w:rsidR="009660B1" w:rsidRPr="009660B1">
      <w:rPr>
        <w:b/>
        <w:bCs/>
        <w:szCs w:val="16"/>
      </w:rPr>
      <w:fldChar w:fldCharType="begin"/>
    </w:r>
    <w:r w:rsidR="009660B1" w:rsidRPr="009660B1">
      <w:rPr>
        <w:b/>
        <w:bCs/>
        <w:szCs w:val="16"/>
      </w:rPr>
      <w:instrText xml:space="preserve"> PAGE  \* Arabic  \* MERGEFORMAT </w:instrText>
    </w:r>
    <w:r w:rsidR="009660B1" w:rsidRPr="009660B1">
      <w:rPr>
        <w:b/>
        <w:bCs/>
        <w:szCs w:val="16"/>
      </w:rPr>
      <w:fldChar w:fldCharType="separate"/>
    </w:r>
    <w:r w:rsidR="005034B1">
      <w:rPr>
        <w:b/>
        <w:bCs/>
        <w:noProof/>
        <w:szCs w:val="16"/>
      </w:rPr>
      <w:t>10</w:t>
    </w:r>
    <w:r w:rsidR="009660B1" w:rsidRPr="009660B1">
      <w:rPr>
        <w:b/>
        <w:bCs/>
        <w:szCs w:val="16"/>
      </w:rPr>
      <w:fldChar w:fldCharType="end"/>
    </w:r>
    <w:r w:rsidR="009660B1" w:rsidRPr="009660B1">
      <w:rPr>
        <w:szCs w:val="16"/>
      </w:rPr>
      <w:t xml:space="preserve"> of </w:t>
    </w:r>
    <w:r w:rsidR="009660B1" w:rsidRPr="009660B1">
      <w:rPr>
        <w:b/>
        <w:bCs/>
        <w:szCs w:val="16"/>
      </w:rPr>
      <w:fldChar w:fldCharType="begin"/>
    </w:r>
    <w:r w:rsidR="009660B1" w:rsidRPr="009660B1">
      <w:rPr>
        <w:b/>
        <w:bCs/>
        <w:szCs w:val="16"/>
      </w:rPr>
      <w:instrText xml:space="preserve"> NUMPAGES  \* Arabic  \* MERGEFORMAT </w:instrText>
    </w:r>
    <w:r w:rsidR="009660B1" w:rsidRPr="009660B1">
      <w:rPr>
        <w:b/>
        <w:bCs/>
        <w:szCs w:val="16"/>
      </w:rPr>
      <w:fldChar w:fldCharType="separate"/>
    </w:r>
    <w:r w:rsidR="005034B1">
      <w:rPr>
        <w:b/>
        <w:bCs/>
        <w:noProof/>
        <w:szCs w:val="16"/>
      </w:rPr>
      <w:t>12</w:t>
    </w:r>
    <w:r w:rsidR="009660B1" w:rsidRPr="009660B1">
      <w:rPr>
        <w:b/>
        <w:bCs/>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46980" w14:textId="080F209B" w:rsidR="00AD7FB4" w:rsidRPr="0075253D" w:rsidRDefault="00AD7FB4" w:rsidP="0075253D">
    <w:pPr>
      <w:pStyle w:val="Footer"/>
      <w:rPr>
        <w:szCs w:val="16"/>
      </w:rPr>
    </w:pPr>
    <w:r>
      <w:rPr>
        <w:szCs w:val="16"/>
      </w:rPr>
      <w:fldChar w:fldCharType="begin"/>
    </w:r>
    <w:r>
      <w:rPr>
        <w:szCs w:val="16"/>
      </w:rPr>
      <w:instrText xml:space="preserve"> FILENAME</w:instrText>
    </w:r>
    <w:r>
      <w:rPr>
        <w:szCs w:val="16"/>
      </w:rPr>
      <w:fldChar w:fldCharType="separate"/>
    </w:r>
    <w:r>
      <w:rPr>
        <w:noProof/>
        <w:szCs w:val="16"/>
      </w:rPr>
      <w:t>Document1</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3</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2082586955"/>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astValue="Departmental Use Only">
          <w:listItem w:value="[ReleaseClassification]"/>
        </w:dropDownList>
      </w:sdtPr>
      <w:sdtEndPr/>
      <w:sdtContent>
        <w:r w:rsidR="00302520">
          <w:rPr>
            <w:snapToGrid w:val="0"/>
            <w:szCs w:val="16"/>
          </w:rPr>
          <w:t>Departmental Use Only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9E328" w14:textId="77777777" w:rsidR="00D03ECE" w:rsidRDefault="00D03ECE" w:rsidP="00A4382C">
      <w:pPr>
        <w:spacing w:line="240" w:lineRule="auto"/>
      </w:pPr>
      <w:r>
        <w:separator/>
      </w:r>
    </w:p>
  </w:footnote>
  <w:footnote w:type="continuationSeparator" w:id="0">
    <w:p w14:paraId="08B660CD" w14:textId="77777777" w:rsidR="00D03ECE" w:rsidRDefault="00D03ECE" w:rsidP="00A4382C">
      <w:pPr>
        <w:spacing w:line="240" w:lineRule="auto"/>
      </w:pPr>
      <w:r>
        <w:continuationSeparator/>
      </w:r>
    </w:p>
  </w:footnote>
  <w:footnote w:type="continuationNotice" w:id="1">
    <w:p w14:paraId="05FEF111" w14:textId="77777777" w:rsidR="00D03ECE" w:rsidRDefault="00D03EC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46972" w14:textId="77777777" w:rsidR="00AD7FB4" w:rsidRDefault="00AD7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46973" w14:textId="77777777" w:rsidR="00AD7FB4" w:rsidRDefault="00AD7F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46977" w14:textId="77777777" w:rsidR="00AD7FB4" w:rsidRDefault="00AD7FB4" w:rsidP="00AD7FB4">
    <w:pPr>
      <w:pStyle w:val="Header"/>
      <w:spacing w:after="160"/>
    </w:pPr>
    <w:r>
      <w:rPr>
        <w:noProof/>
        <w:lang w:eastAsia="en-AU"/>
      </w:rPr>
      <w:drawing>
        <wp:inline distT="0" distB="0" distL="0" distR="0" wp14:anchorId="5B146983" wp14:editId="5B146984">
          <wp:extent cx="6727000" cy="312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_cover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7000" cy="31248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4697B" w14:textId="77777777" w:rsidR="00AD7FB4" w:rsidRDefault="00AD7F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4697C" w14:textId="0E0CA369" w:rsidR="00AD7FB4" w:rsidRDefault="00AD7FB4" w:rsidP="000C1787">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4697F" w14:textId="77777777" w:rsidR="00AD7FB4" w:rsidRDefault="00AD7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BA5"/>
    <w:multiLevelType w:val="multilevel"/>
    <w:tmpl w:val="BD5E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84D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8F3572"/>
    <w:multiLevelType w:val="multilevel"/>
    <w:tmpl w:val="90EC54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i w:val="0"/>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E91226"/>
    <w:multiLevelType w:val="multilevel"/>
    <w:tmpl w:val="DC82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B2F93"/>
    <w:multiLevelType w:val="hybridMultilevel"/>
    <w:tmpl w:val="B26A0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C668B0"/>
    <w:multiLevelType w:val="multilevel"/>
    <w:tmpl w:val="00AA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7" w15:restartNumberingAfterBreak="0">
    <w:nsid w:val="0FB36621"/>
    <w:multiLevelType w:val="multilevel"/>
    <w:tmpl w:val="75E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3B31D2"/>
    <w:multiLevelType w:val="hybridMultilevel"/>
    <w:tmpl w:val="15CA4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E47981"/>
    <w:multiLevelType w:val="multilevel"/>
    <w:tmpl w:val="0AA25E70"/>
    <w:numStyleLink w:val="AgencyBullets"/>
  </w:abstractNum>
  <w:abstractNum w:abstractNumId="10"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25B303CA"/>
    <w:multiLevelType w:val="hybridMultilevel"/>
    <w:tmpl w:val="3724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13" w15:restartNumberingAfterBreak="0">
    <w:nsid w:val="2A1C2804"/>
    <w:multiLevelType w:val="hybridMultilevel"/>
    <w:tmpl w:val="A7BC8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9D1BD6"/>
    <w:multiLevelType w:val="multilevel"/>
    <w:tmpl w:val="D4C4158E"/>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01F17B1"/>
    <w:multiLevelType w:val="hybridMultilevel"/>
    <w:tmpl w:val="3EEAE994"/>
    <w:lvl w:ilvl="0" w:tplc="0C090001">
      <w:start w:val="1"/>
      <w:numFmt w:val="bullet"/>
      <w:lvlText w:val=""/>
      <w:lvlJc w:val="left"/>
      <w:pPr>
        <w:ind w:left="789" w:hanging="360"/>
      </w:pPr>
      <w:rPr>
        <w:rFonts w:ascii="Symbol" w:hAnsi="Symbol" w:hint="default"/>
      </w:rPr>
    </w:lvl>
    <w:lvl w:ilvl="1" w:tplc="0C090003">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6" w15:restartNumberingAfterBreak="0">
    <w:nsid w:val="40914BBB"/>
    <w:multiLevelType w:val="hybridMultilevel"/>
    <w:tmpl w:val="7C94A0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EF60A1"/>
    <w:multiLevelType w:val="multilevel"/>
    <w:tmpl w:val="77DEEFC4"/>
    <w:numStyleLink w:val="AgencyNumbers"/>
  </w:abstractNum>
  <w:abstractNum w:abstractNumId="18" w15:restartNumberingAfterBreak="0">
    <w:nsid w:val="41B20D18"/>
    <w:multiLevelType w:val="multilevel"/>
    <w:tmpl w:val="C4023126"/>
    <w:numStyleLink w:val="AgencyTableBullets"/>
  </w:abstractNum>
  <w:abstractNum w:abstractNumId="19" w15:restartNumberingAfterBreak="0">
    <w:nsid w:val="4474526F"/>
    <w:multiLevelType w:val="multilevel"/>
    <w:tmpl w:val="D5A4B100"/>
    <w:numStyleLink w:val="AgencyTableNumbers"/>
  </w:abstractNum>
  <w:abstractNum w:abstractNumId="20"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1" w15:restartNumberingAfterBreak="0">
    <w:nsid w:val="4F071583"/>
    <w:multiLevelType w:val="hybridMultilevel"/>
    <w:tmpl w:val="DDC8C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A149A6"/>
    <w:multiLevelType w:val="multilevel"/>
    <w:tmpl w:val="5A14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D0FD7"/>
    <w:multiLevelType w:val="hybridMultilevel"/>
    <w:tmpl w:val="CB0C0C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6D724E0"/>
    <w:multiLevelType w:val="hybridMultilevel"/>
    <w:tmpl w:val="DEDE9E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AF90DB2"/>
    <w:multiLevelType w:val="hybridMultilevel"/>
    <w:tmpl w:val="507295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AD7602"/>
    <w:multiLevelType w:val="hybridMultilevel"/>
    <w:tmpl w:val="EE1686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3B17FA"/>
    <w:multiLevelType w:val="multilevel"/>
    <w:tmpl w:val="35E4B396"/>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34C7EC7"/>
    <w:multiLevelType w:val="hybridMultilevel"/>
    <w:tmpl w:val="C7CA33D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9" w15:restartNumberingAfterBreak="0">
    <w:nsid w:val="75911B1F"/>
    <w:multiLevelType w:val="multilevel"/>
    <w:tmpl w:val="A5A2D3E2"/>
    <w:lvl w:ilvl="0">
      <w:start w:val="1"/>
      <w:numFmt w:val="decimal"/>
      <w:lvlText w:val="%1)"/>
      <w:lvlJc w:val="left"/>
      <w:pPr>
        <w:ind w:left="360" w:hanging="360"/>
      </w:pPr>
    </w:lvl>
    <w:lvl w:ilvl="1">
      <w:start w:val="1"/>
      <w:numFmt w:val="lowerLetter"/>
      <w:lvlText w:val="%2)"/>
      <w:lvlJc w:val="left"/>
      <w:pPr>
        <w:ind w:left="720" w:hanging="360"/>
      </w:pPr>
      <w:rPr>
        <w:color w:val="000000" w:themeColor="text1"/>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9A46D7E"/>
    <w:multiLevelType w:val="hybridMultilevel"/>
    <w:tmpl w:val="777EAD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7E735DDC"/>
    <w:multiLevelType w:val="multilevel"/>
    <w:tmpl w:val="2AF8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6"/>
  </w:num>
  <w:num w:numId="4">
    <w:abstractNumId w:val="10"/>
  </w:num>
  <w:num w:numId="5">
    <w:abstractNumId w:val="17"/>
  </w:num>
  <w:num w:numId="6">
    <w:abstractNumId w:val="18"/>
  </w:num>
  <w:num w:numId="7">
    <w:abstractNumId w:val="19"/>
  </w:num>
  <w:num w:numId="8">
    <w:abstractNumId w:val="9"/>
  </w:num>
  <w:num w:numId="9">
    <w:abstractNumId w:val="9"/>
  </w:num>
  <w:num w:numId="10">
    <w:abstractNumId w:val="17"/>
  </w:num>
  <w:num w:numId="11">
    <w:abstractNumId w:val="9"/>
  </w:num>
  <w:num w:numId="12">
    <w:abstractNumId w:val="9"/>
  </w:num>
  <w:num w:numId="13">
    <w:abstractNumId w:val="9"/>
  </w:num>
  <w:num w:numId="14">
    <w:abstractNumId w:val="9"/>
  </w:num>
  <w:num w:numId="15">
    <w:abstractNumId w:val="17"/>
  </w:num>
  <w:num w:numId="16">
    <w:abstractNumId w:val="17"/>
  </w:num>
  <w:num w:numId="17">
    <w:abstractNumId w:val="17"/>
  </w:num>
  <w:num w:numId="18">
    <w:abstractNumId w:val="17"/>
  </w:num>
  <w:num w:numId="19">
    <w:abstractNumId w:val="12"/>
  </w:num>
  <w:num w:numId="20">
    <w:abstractNumId w:val="20"/>
  </w:num>
  <w:num w:numId="21">
    <w:abstractNumId w:val="6"/>
  </w:num>
  <w:num w:numId="22">
    <w:abstractNumId w:val="10"/>
  </w:num>
  <w:num w:numId="23">
    <w:abstractNumId w:val="18"/>
  </w:num>
  <w:num w:numId="24">
    <w:abstractNumId w:val="19"/>
  </w:num>
  <w:num w:numId="25">
    <w:abstractNumId w:val="23"/>
  </w:num>
  <w:num w:numId="26">
    <w:abstractNumId w:val="26"/>
  </w:num>
  <w:num w:numId="27">
    <w:abstractNumId w:val="30"/>
  </w:num>
  <w:num w:numId="28">
    <w:abstractNumId w:val="8"/>
  </w:num>
  <w:num w:numId="29">
    <w:abstractNumId w:val="28"/>
  </w:num>
  <w:num w:numId="30">
    <w:abstractNumId w:val="21"/>
  </w:num>
  <w:num w:numId="31">
    <w:abstractNumId w:val="14"/>
  </w:num>
  <w:num w:numId="32">
    <w:abstractNumId w:val="27"/>
  </w:num>
  <w:num w:numId="33">
    <w:abstractNumId w:val="13"/>
  </w:num>
  <w:num w:numId="34">
    <w:abstractNumId w:val="4"/>
  </w:num>
  <w:num w:numId="35">
    <w:abstractNumId w:val="15"/>
  </w:num>
  <w:num w:numId="36">
    <w:abstractNumId w:val="24"/>
  </w:num>
  <w:num w:numId="37">
    <w:abstractNumId w:val="1"/>
  </w:num>
  <w:num w:numId="38">
    <w:abstractNumId w:val="29"/>
  </w:num>
  <w:num w:numId="39">
    <w:abstractNumId w:val="2"/>
  </w:num>
  <w:num w:numId="40">
    <w:abstractNumId w:val="25"/>
  </w:num>
  <w:num w:numId="41">
    <w:abstractNumId w:val="16"/>
  </w:num>
  <w:num w:numId="42">
    <w:abstractNumId w:val="11"/>
  </w:num>
  <w:num w:numId="43">
    <w:abstractNumId w:val="5"/>
  </w:num>
  <w:num w:numId="44">
    <w:abstractNumId w:val="22"/>
  </w:num>
  <w:num w:numId="45">
    <w:abstractNumId w:val="31"/>
  </w:num>
  <w:num w:numId="46">
    <w:abstractNumId w:val="7"/>
  </w:num>
  <w:num w:numId="47">
    <w:abstractNumId w:val="3"/>
  </w:num>
  <w:num w:numId="4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ttachedTemplate r:id="rId1"/>
  <w:defaultTabStop w:val="567"/>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4E"/>
    <w:rsid w:val="00000C72"/>
    <w:rsid w:val="00005285"/>
    <w:rsid w:val="0001485B"/>
    <w:rsid w:val="00026494"/>
    <w:rsid w:val="00030161"/>
    <w:rsid w:val="00043338"/>
    <w:rsid w:val="000628DD"/>
    <w:rsid w:val="00070650"/>
    <w:rsid w:val="00081F4F"/>
    <w:rsid w:val="00087E7C"/>
    <w:rsid w:val="000A0B7B"/>
    <w:rsid w:val="000A12DB"/>
    <w:rsid w:val="000B03FE"/>
    <w:rsid w:val="000B491A"/>
    <w:rsid w:val="000C1787"/>
    <w:rsid w:val="000D6278"/>
    <w:rsid w:val="000F4B54"/>
    <w:rsid w:val="00101A4E"/>
    <w:rsid w:val="0011322E"/>
    <w:rsid w:val="00117666"/>
    <w:rsid w:val="00117846"/>
    <w:rsid w:val="00127A81"/>
    <w:rsid w:val="001309C2"/>
    <w:rsid w:val="00135B2B"/>
    <w:rsid w:val="00150D6F"/>
    <w:rsid w:val="0015286C"/>
    <w:rsid w:val="00161BAC"/>
    <w:rsid w:val="00166F4F"/>
    <w:rsid w:val="00170D8E"/>
    <w:rsid w:val="001723E2"/>
    <w:rsid w:val="00175B21"/>
    <w:rsid w:val="00182318"/>
    <w:rsid w:val="001853E7"/>
    <w:rsid w:val="001A693B"/>
    <w:rsid w:val="001B1E30"/>
    <w:rsid w:val="001C0AF7"/>
    <w:rsid w:val="001C267C"/>
    <w:rsid w:val="001C316F"/>
    <w:rsid w:val="001D2EB0"/>
    <w:rsid w:val="001E38AF"/>
    <w:rsid w:val="001F1168"/>
    <w:rsid w:val="001F302C"/>
    <w:rsid w:val="001F7357"/>
    <w:rsid w:val="00205606"/>
    <w:rsid w:val="0021319C"/>
    <w:rsid w:val="00217BF0"/>
    <w:rsid w:val="002431EF"/>
    <w:rsid w:val="002760CB"/>
    <w:rsid w:val="002D2D57"/>
    <w:rsid w:val="002D46D3"/>
    <w:rsid w:val="002D4783"/>
    <w:rsid w:val="002E7DD3"/>
    <w:rsid w:val="00302520"/>
    <w:rsid w:val="00306FAF"/>
    <w:rsid w:val="00316310"/>
    <w:rsid w:val="00317B5F"/>
    <w:rsid w:val="00320B80"/>
    <w:rsid w:val="00321C39"/>
    <w:rsid w:val="00327D01"/>
    <w:rsid w:val="00332702"/>
    <w:rsid w:val="0033401D"/>
    <w:rsid w:val="00334E55"/>
    <w:rsid w:val="00371FB3"/>
    <w:rsid w:val="00375984"/>
    <w:rsid w:val="0038356A"/>
    <w:rsid w:val="003A2211"/>
    <w:rsid w:val="003A2BEB"/>
    <w:rsid w:val="003B68D0"/>
    <w:rsid w:val="003E453E"/>
    <w:rsid w:val="003F4681"/>
    <w:rsid w:val="003F68F5"/>
    <w:rsid w:val="004108AE"/>
    <w:rsid w:val="00415A13"/>
    <w:rsid w:val="00420EEB"/>
    <w:rsid w:val="00471F4B"/>
    <w:rsid w:val="00475702"/>
    <w:rsid w:val="00490548"/>
    <w:rsid w:val="00494B28"/>
    <w:rsid w:val="004B244E"/>
    <w:rsid w:val="004B3F9A"/>
    <w:rsid w:val="004B7C4A"/>
    <w:rsid w:val="004C12D6"/>
    <w:rsid w:val="004C3B9E"/>
    <w:rsid w:val="004D5B8D"/>
    <w:rsid w:val="004F6AB4"/>
    <w:rsid w:val="00502FFE"/>
    <w:rsid w:val="005034B1"/>
    <w:rsid w:val="00517B50"/>
    <w:rsid w:val="00521B09"/>
    <w:rsid w:val="00556CD6"/>
    <w:rsid w:val="005823D1"/>
    <w:rsid w:val="005849E0"/>
    <w:rsid w:val="00590663"/>
    <w:rsid w:val="005A2015"/>
    <w:rsid w:val="005B18A9"/>
    <w:rsid w:val="005C2B6E"/>
    <w:rsid w:val="005C7F45"/>
    <w:rsid w:val="00601969"/>
    <w:rsid w:val="00624AAD"/>
    <w:rsid w:val="006547BD"/>
    <w:rsid w:val="00656337"/>
    <w:rsid w:val="006603CA"/>
    <w:rsid w:val="00664B55"/>
    <w:rsid w:val="00677435"/>
    <w:rsid w:val="00687041"/>
    <w:rsid w:val="0069124D"/>
    <w:rsid w:val="006B372C"/>
    <w:rsid w:val="006C2194"/>
    <w:rsid w:val="006F5B25"/>
    <w:rsid w:val="00705246"/>
    <w:rsid w:val="00711DD3"/>
    <w:rsid w:val="00715B1F"/>
    <w:rsid w:val="007218E4"/>
    <w:rsid w:val="00725843"/>
    <w:rsid w:val="00736097"/>
    <w:rsid w:val="00736B45"/>
    <w:rsid w:val="00744771"/>
    <w:rsid w:val="0075253D"/>
    <w:rsid w:val="007528AA"/>
    <w:rsid w:val="00757A2A"/>
    <w:rsid w:val="00770250"/>
    <w:rsid w:val="00797D01"/>
    <w:rsid w:val="007A22F2"/>
    <w:rsid w:val="007A54B1"/>
    <w:rsid w:val="007B1E8F"/>
    <w:rsid w:val="007D63A6"/>
    <w:rsid w:val="008565C8"/>
    <w:rsid w:val="00875FE3"/>
    <w:rsid w:val="00884F47"/>
    <w:rsid w:val="0089012F"/>
    <w:rsid w:val="0089115D"/>
    <w:rsid w:val="008A0283"/>
    <w:rsid w:val="008A72AE"/>
    <w:rsid w:val="008E0D74"/>
    <w:rsid w:val="008E41EC"/>
    <w:rsid w:val="008E742A"/>
    <w:rsid w:val="009106A8"/>
    <w:rsid w:val="00930BCD"/>
    <w:rsid w:val="00935B0B"/>
    <w:rsid w:val="0094285C"/>
    <w:rsid w:val="00943CC7"/>
    <w:rsid w:val="00944D7D"/>
    <w:rsid w:val="00945F04"/>
    <w:rsid w:val="00953276"/>
    <w:rsid w:val="009532BA"/>
    <w:rsid w:val="009660B1"/>
    <w:rsid w:val="00973CAE"/>
    <w:rsid w:val="00991EC5"/>
    <w:rsid w:val="00994883"/>
    <w:rsid w:val="009A314E"/>
    <w:rsid w:val="009B081D"/>
    <w:rsid w:val="009B0BD9"/>
    <w:rsid w:val="009E1CD7"/>
    <w:rsid w:val="009E75B8"/>
    <w:rsid w:val="00A031A7"/>
    <w:rsid w:val="00A40D7F"/>
    <w:rsid w:val="00A4376B"/>
    <w:rsid w:val="00A4382C"/>
    <w:rsid w:val="00A46F47"/>
    <w:rsid w:val="00A663DD"/>
    <w:rsid w:val="00A73213"/>
    <w:rsid w:val="00A768BE"/>
    <w:rsid w:val="00A804F9"/>
    <w:rsid w:val="00A826CA"/>
    <w:rsid w:val="00A865D9"/>
    <w:rsid w:val="00A95C2A"/>
    <w:rsid w:val="00A9777E"/>
    <w:rsid w:val="00AC08F1"/>
    <w:rsid w:val="00AD0559"/>
    <w:rsid w:val="00AD7FB4"/>
    <w:rsid w:val="00AE2B03"/>
    <w:rsid w:val="00AE3A82"/>
    <w:rsid w:val="00AE44B2"/>
    <w:rsid w:val="00AE66A3"/>
    <w:rsid w:val="00AE6CF0"/>
    <w:rsid w:val="00AF3672"/>
    <w:rsid w:val="00AF3D3D"/>
    <w:rsid w:val="00B4205B"/>
    <w:rsid w:val="00B45BCE"/>
    <w:rsid w:val="00B9420A"/>
    <w:rsid w:val="00B96B1B"/>
    <w:rsid w:val="00BB241A"/>
    <w:rsid w:val="00BC51EB"/>
    <w:rsid w:val="00BC5B97"/>
    <w:rsid w:val="00BC790D"/>
    <w:rsid w:val="00BD452D"/>
    <w:rsid w:val="00BD7FE2"/>
    <w:rsid w:val="00BF126F"/>
    <w:rsid w:val="00C04615"/>
    <w:rsid w:val="00C169C6"/>
    <w:rsid w:val="00C17C2B"/>
    <w:rsid w:val="00C223D4"/>
    <w:rsid w:val="00C3089C"/>
    <w:rsid w:val="00C524D8"/>
    <w:rsid w:val="00C61F98"/>
    <w:rsid w:val="00C6635B"/>
    <w:rsid w:val="00C74436"/>
    <w:rsid w:val="00C77B38"/>
    <w:rsid w:val="00C82AA0"/>
    <w:rsid w:val="00C851DC"/>
    <w:rsid w:val="00C95C39"/>
    <w:rsid w:val="00C97A98"/>
    <w:rsid w:val="00CB079B"/>
    <w:rsid w:val="00CB5139"/>
    <w:rsid w:val="00CC4376"/>
    <w:rsid w:val="00CC43BA"/>
    <w:rsid w:val="00CC5FB3"/>
    <w:rsid w:val="00CD6ABC"/>
    <w:rsid w:val="00CE478B"/>
    <w:rsid w:val="00CF08F3"/>
    <w:rsid w:val="00D00C10"/>
    <w:rsid w:val="00D016D8"/>
    <w:rsid w:val="00D03ECE"/>
    <w:rsid w:val="00D14F87"/>
    <w:rsid w:val="00D256C7"/>
    <w:rsid w:val="00D27E58"/>
    <w:rsid w:val="00D43849"/>
    <w:rsid w:val="00D50E9F"/>
    <w:rsid w:val="00D5302E"/>
    <w:rsid w:val="00D6309A"/>
    <w:rsid w:val="00D6395F"/>
    <w:rsid w:val="00D71CF0"/>
    <w:rsid w:val="00D8749A"/>
    <w:rsid w:val="00D9127D"/>
    <w:rsid w:val="00DB1CC8"/>
    <w:rsid w:val="00DB3B0A"/>
    <w:rsid w:val="00DB6B51"/>
    <w:rsid w:val="00DC07FF"/>
    <w:rsid w:val="00DD3798"/>
    <w:rsid w:val="00DD464F"/>
    <w:rsid w:val="00DE0A4C"/>
    <w:rsid w:val="00DE5B3B"/>
    <w:rsid w:val="00DF7BE7"/>
    <w:rsid w:val="00E04E24"/>
    <w:rsid w:val="00E05542"/>
    <w:rsid w:val="00E262D6"/>
    <w:rsid w:val="00E26EED"/>
    <w:rsid w:val="00E278B6"/>
    <w:rsid w:val="00E30ABB"/>
    <w:rsid w:val="00E335C1"/>
    <w:rsid w:val="00E54406"/>
    <w:rsid w:val="00E800BA"/>
    <w:rsid w:val="00E87942"/>
    <w:rsid w:val="00E92696"/>
    <w:rsid w:val="00EA48D2"/>
    <w:rsid w:val="00EB048B"/>
    <w:rsid w:val="00EC15C1"/>
    <w:rsid w:val="00ED1F45"/>
    <w:rsid w:val="00F06689"/>
    <w:rsid w:val="00F07494"/>
    <w:rsid w:val="00F17A22"/>
    <w:rsid w:val="00F234F8"/>
    <w:rsid w:val="00F23DC0"/>
    <w:rsid w:val="00F3359C"/>
    <w:rsid w:val="00F42B9C"/>
    <w:rsid w:val="00F47CE2"/>
    <w:rsid w:val="00F53BB2"/>
    <w:rsid w:val="00FA164E"/>
    <w:rsid w:val="00FA2F82"/>
    <w:rsid w:val="00FC3038"/>
    <w:rsid w:val="00FD5004"/>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468AC"/>
  <w15:docId w15:val="{58E751AD-53FC-443D-8D11-5670B536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D1"/>
    <w:pPr>
      <w:spacing w:after="0"/>
    </w:pPr>
    <w:rPr>
      <w:rFonts w:cs="Times New Roman"/>
    </w:rPr>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rFonts w:cstheme="minorBidi"/>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19"/>
      </w:numPr>
      <w:spacing w:after="60"/>
    </w:pPr>
    <w:rPr>
      <w:rFonts w:cstheme="minorBidi"/>
    </w:rPr>
  </w:style>
  <w:style w:type="paragraph" w:styleId="ListBullet2">
    <w:name w:val="List Bullet 2"/>
    <w:basedOn w:val="Normal"/>
    <w:uiPriority w:val="2"/>
    <w:rsid w:val="00316310"/>
    <w:pPr>
      <w:numPr>
        <w:ilvl w:val="1"/>
        <w:numId w:val="19"/>
      </w:numPr>
      <w:spacing w:after="60"/>
    </w:pPr>
    <w:rPr>
      <w:rFonts w:cstheme="minorBidi"/>
    </w:rPr>
  </w:style>
  <w:style w:type="paragraph" w:styleId="ListBullet3">
    <w:name w:val="List Bullet 3"/>
    <w:basedOn w:val="Normal"/>
    <w:uiPriority w:val="2"/>
    <w:rsid w:val="00316310"/>
    <w:pPr>
      <w:numPr>
        <w:ilvl w:val="2"/>
        <w:numId w:val="19"/>
      </w:numPr>
      <w:spacing w:after="60"/>
    </w:pPr>
    <w:rPr>
      <w:rFonts w:cstheme="minorBidi"/>
    </w:rPr>
  </w:style>
  <w:style w:type="paragraph" w:styleId="ListBullet4">
    <w:name w:val="List Bullet 4"/>
    <w:basedOn w:val="Normal"/>
    <w:uiPriority w:val="2"/>
    <w:rsid w:val="00316310"/>
    <w:pPr>
      <w:numPr>
        <w:ilvl w:val="3"/>
        <w:numId w:val="19"/>
      </w:numPr>
      <w:spacing w:after="60"/>
    </w:pPr>
    <w:rPr>
      <w:rFonts w:cstheme="minorBidi"/>
    </w:rPr>
  </w:style>
  <w:style w:type="paragraph" w:styleId="ListBullet5">
    <w:name w:val="List Bullet 5"/>
    <w:basedOn w:val="Normal"/>
    <w:uiPriority w:val="2"/>
    <w:rsid w:val="00316310"/>
    <w:pPr>
      <w:numPr>
        <w:ilvl w:val="4"/>
        <w:numId w:val="19"/>
      </w:numPr>
      <w:spacing w:after="60"/>
    </w:pPr>
    <w:rPr>
      <w:rFonts w:cstheme="minorBidi"/>
    </w:r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rPr>
      <w:rFonts w:cstheme="minorBidi"/>
    </w:rPr>
  </w:style>
  <w:style w:type="paragraph" w:styleId="ListNumber2">
    <w:name w:val="List Number 2"/>
    <w:basedOn w:val="Normal"/>
    <w:uiPriority w:val="2"/>
    <w:rsid w:val="00316310"/>
    <w:pPr>
      <w:numPr>
        <w:ilvl w:val="1"/>
        <w:numId w:val="20"/>
      </w:numPr>
      <w:spacing w:after="60"/>
    </w:pPr>
    <w:rPr>
      <w:rFonts w:cstheme="minorBidi"/>
    </w:rPr>
  </w:style>
  <w:style w:type="paragraph" w:styleId="ListNumber3">
    <w:name w:val="List Number 3"/>
    <w:basedOn w:val="Normal"/>
    <w:uiPriority w:val="2"/>
    <w:rsid w:val="00316310"/>
    <w:pPr>
      <w:numPr>
        <w:ilvl w:val="2"/>
        <w:numId w:val="20"/>
      </w:numPr>
      <w:spacing w:after="60"/>
    </w:pPr>
    <w:rPr>
      <w:rFonts w:cstheme="minorBidi"/>
    </w:rPr>
  </w:style>
  <w:style w:type="paragraph" w:styleId="ListNumber4">
    <w:name w:val="List Number 4"/>
    <w:basedOn w:val="Normal"/>
    <w:uiPriority w:val="2"/>
    <w:rsid w:val="00316310"/>
    <w:pPr>
      <w:numPr>
        <w:ilvl w:val="3"/>
        <w:numId w:val="20"/>
      </w:numPr>
      <w:spacing w:after="60"/>
    </w:pPr>
    <w:rPr>
      <w:rFonts w:cstheme="minorBidi"/>
    </w:rPr>
  </w:style>
  <w:style w:type="paragraph" w:styleId="ListNumber5">
    <w:name w:val="List Number 5"/>
    <w:basedOn w:val="Normal"/>
    <w:uiPriority w:val="2"/>
    <w:rsid w:val="00316310"/>
    <w:pPr>
      <w:numPr>
        <w:ilvl w:val="4"/>
        <w:numId w:val="20"/>
      </w:numPr>
      <w:spacing w:after="60"/>
    </w:pPr>
    <w:rPr>
      <w:rFonts w:cstheme="minorBidi"/>
    </w:r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316310"/>
    <w:pPr>
      <w:spacing w:after="200"/>
    </w:pPr>
    <w:rPr>
      <w:rFonts w:cstheme="minorBidi"/>
    </w:rPr>
  </w:style>
  <w:style w:type="character" w:customStyle="1" w:styleId="BodyTextChar">
    <w:name w:val="Body Text Char"/>
    <w:basedOn w:val="DefaultParagraphFont"/>
    <w:link w:val="BodyText"/>
    <w:rsid w:val="00316310"/>
    <w:rPr>
      <w:sz w:val="24"/>
      <w:szCs w:val="24"/>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rPr>
      <w:rFonts w:cstheme="minorBidi"/>
    </w:rPr>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rFonts w:cstheme="minorBidi"/>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rPr>
      <w:rFonts w:cstheme="minorBidi"/>
    </w:rPr>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FF08A8"/>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qFormat/>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rPr>
      <w:rFonts w:cstheme="minorBidi"/>
    </w:r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rPr>
      <w:rFonts w:cstheme="minorBidi"/>
    </w:r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rPr>
      <w:rFonts w:cstheme="minorBidi"/>
    </w:r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qFormat/>
    <w:rsid w:val="00316310"/>
    <w:pPr>
      <w:ind w:left="720"/>
      <w:contextualSpacing/>
    </w:pPr>
    <w:rPr>
      <w:rFonts w:cstheme="minorBidi"/>
    </w:rPr>
  </w:style>
  <w:style w:type="paragraph" w:customStyle="1" w:styleId="Notetext">
    <w:name w:val="Note text"/>
    <w:basedOn w:val="Normal"/>
    <w:uiPriority w:val="8"/>
    <w:qFormat/>
    <w:rsid w:val="00316310"/>
    <w:pPr>
      <w:pBdr>
        <w:left w:val="single" w:sz="36" w:space="4" w:color="CCCCCC"/>
      </w:pBdr>
    </w:pPr>
    <w:rPr>
      <w:rFonts w:cstheme="minorBidi"/>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cstheme="minorBidi"/>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rsid w:val="005823D1"/>
  </w:style>
  <w:style w:type="character" w:styleId="HTMLDefinition">
    <w:name w:val="HTML Definition"/>
    <w:basedOn w:val="DefaultParagraphFont"/>
    <w:uiPriority w:val="99"/>
    <w:semiHidden/>
    <w:unhideWhenUsed/>
    <w:rsid w:val="004B244E"/>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6475">
      <w:bodyDiv w:val="1"/>
      <w:marLeft w:val="0"/>
      <w:marRight w:val="0"/>
      <w:marTop w:val="0"/>
      <w:marBottom w:val="0"/>
      <w:divBdr>
        <w:top w:val="none" w:sz="0" w:space="0" w:color="auto"/>
        <w:left w:val="none" w:sz="0" w:space="0" w:color="auto"/>
        <w:bottom w:val="none" w:sz="0" w:space="0" w:color="auto"/>
        <w:right w:val="none" w:sz="0" w:space="0" w:color="auto"/>
      </w:divBdr>
    </w:div>
    <w:div w:id="186063050">
      <w:bodyDiv w:val="1"/>
      <w:marLeft w:val="0"/>
      <w:marRight w:val="0"/>
      <w:marTop w:val="0"/>
      <w:marBottom w:val="0"/>
      <w:divBdr>
        <w:top w:val="none" w:sz="0" w:space="0" w:color="auto"/>
        <w:left w:val="none" w:sz="0" w:space="0" w:color="auto"/>
        <w:bottom w:val="none" w:sz="0" w:space="0" w:color="auto"/>
        <w:right w:val="none" w:sz="0" w:space="0" w:color="auto"/>
      </w:divBdr>
    </w:div>
    <w:div w:id="790242581">
      <w:bodyDiv w:val="1"/>
      <w:marLeft w:val="0"/>
      <w:marRight w:val="0"/>
      <w:marTop w:val="0"/>
      <w:marBottom w:val="0"/>
      <w:divBdr>
        <w:top w:val="none" w:sz="0" w:space="0" w:color="auto"/>
        <w:left w:val="none" w:sz="0" w:space="0" w:color="auto"/>
        <w:bottom w:val="none" w:sz="0" w:space="0" w:color="auto"/>
        <w:right w:val="none" w:sz="0" w:space="0" w:color="auto"/>
      </w:divBdr>
    </w:div>
    <w:div w:id="885916375">
      <w:bodyDiv w:val="1"/>
      <w:marLeft w:val="0"/>
      <w:marRight w:val="0"/>
      <w:marTop w:val="0"/>
      <w:marBottom w:val="0"/>
      <w:divBdr>
        <w:top w:val="none" w:sz="0" w:space="0" w:color="auto"/>
        <w:left w:val="none" w:sz="0" w:space="0" w:color="auto"/>
        <w:bottom w:val="none" w:sz="0" w:space="0" w:color="auto"/>
        <w:right w:val="none" w:sz="0" w:space="0" w:color="auto"/>
      </w:divBdr>
    </w:div>
    <w:div w:id="887229944">
      <w:bodyDiv w:val="1"/>
      <w:marLeft w:val="0"/>
      <w:marRight w:val="0"/>
      <w:marTop w:val="0"/>
      <w:marBottom w:val="0"/>
      <w:divBdr>
        <w:top w:val="none" w:sz="0" w:space="0" w:color="auto"/>
        <w:left w:val="none" w:sz="0" w:space="0" w:color="auto"/>
        <w:bottom w:val="none" w:sz="0" w:space="0" w:color="auto"/>
        <w:right w:val="none" w:sz="0" w:space="0" w:color="auto"/>
      </w:divBdr>
    </w:div>
    <w:div w:id="1366515543">
      <w:bodyDiv w:val="1"/>
      <w:marLeft w:val="0"/>
      <w:marRight w:val="0"/>
      <w:marTop w:val="0"/>
      <w:marBottom w:val="0"/>
      <w:divBdr>
        <w:top w:val="none" w:sz="0" w:space="0" w:color="auto"/>
        <w:left w:val="none" w:sz="0" w:space="0" w:color="auto"/>
        <w:bottom w:val="none" w:sz="0" w:space="0" w:color="auto"/>
        <w:right w:val="none" w:sz="0" w:space="0" w:color="auto"/>
      </w:divBdr>
    </w:div>
    <w:div w:id="1576277723">
      <w:bodyDiv w:val="1"/>
      <w:marLeft w:val="0"/>
      <w:marRight w:val="0"/>
      <w:marTop w:val="0"/>
      <w:marBottom w:val="0"/>
      <w:divBdr>
        <w:top w:val="none" w:sz="0" w:space="0" w:color="auto"/>
        <w:left w:val="none" w:sz="0" w:space="0" w:color="auto"/>
        <w:bottom w:val="none" w:sz="0" w:space="0" w:color="auto"/>
        <w:right w:val="none" w:sz="0" w:space="0" w:color="auto"/>
      </w:divBdr>
    </w:div>
    <w:div w:id="1608007477">
      <w:bodyDiv w:val="1"/>
      <w:marLeft w:val="0"/>
      <w:marRight w:val="0"/>
      <w:marTop w:val="0"/>
      <w:marBottom w:val="0"/>
      <w:divBdr>
        <w:top w:val="none" w:sz="0" w:space="0" w:color="auto"/>
        <w:left w:val="none" w:sz="0" w:space="0" w:color="auto"/>
        <w:bottom w:val="none" w:sz="0" w:space="0" w:color="auto"/>
        <w:right w:val="none" w:sz="0" w:space="0" w:color="auto"/>
      </w:divBdr>
    </w:div>
    <w:div w:id="188760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safeworkaustralia.gov.au/doc/model-work-health-and-safety-regulations" TargetMode="External"/><Relationship Id="rId26" Type="http://schemas.openxmlformats.org/officeDocument/2006/relationships/hyperlink" Target="https://www.safeworkaustralia.gov.au/doc/model-work-health-and-safety-act-transitional-principles" TargetMode="External"/><Relationship Id="rId39" Type="http://schemas.openxmlformats.org/officeDocument/2006/relationships/hyperlink" Target="https://www.safeworkaustralia.gov.au/doc/model-work-health-and-safety-regulations-transitional-principles" TargetMode="External"/><Relationship Id="rId21" Type="http://schemas.openxmlformats.org/officeDocument/2006/relationships/image" Target="media/image3.png"/><Relationship Id="rId34" Type="http://schemas.openxmlformats.org/officeDocument/2006/relationships/hyperlink" Target="https://www.legislation.wa.gov.au/legislation/statutes.nsf/law_s4665.html" TargetMode="External"/><Relationship Id="rId42" Type="http://schemas.openxmlformats.org/officeDocument/2006/relationships/hyperlink" Target="https://www.legislation.wa.gov.au/legislation/statutes.nsf/law_a602.html" TargetMode="External"/><Relationship Id="rId47" Type="http://schemas.openxmlformats.org/officeDocument/2006/relationships/hyperlink" Target="https://www.legislation.wa.gov.au/legislation/statutes.nsf/law_a602.html" TargetMode="External"/><Relationship Id="rId50" Type="http://schemas.openxmlformats.org/officeDocument/2006/relationships/hyperlink" Target="https://www.legislation.wa.gov.au/legislation/statutes.nsf/law_s38293.html" TargetMode="External"/><Relationship Id="rId55" Type="http://schemas.openxmlformats.org/officeDocument/2006/relationships/footer" Target="foot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commerce.wa.gov.au/sites/default/files/atoms/files/002734.safety.comms_.docx" TargetMode="External"/><Relationship Id="rId29" Type="http://schemas.openxmlformats.org/officeDocument/2006/relationships/hyperlink" Target="https://www.commerce.wa.gov.au/sites/default/files/atoms/files/002096.safety.comms__0.docx" TargetMode="External"/><Relationship Id="rId41" Type="http://schemas.openxmlformats.org/officeDocument/2006/relationships/hyperlink" Target="https://www.commerce.wa.gov.au/sites/default/files/atoms/files/002096.safety.comms__0.docx"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afeworkaustralia.gov.au/glossary" TargetMode="External"/><Relationship Id="rId32" Type="http://schemas.openxmlformats.org/officeDocument/2006/relationships/hyperlink" Target="https://www.commerce.wa.gov.au/sites/default/files/atoms/files/002991.safety.comm_.docx" TargetMode="External"/><Relationship Id="rId37" Type="http://schemas.openxmlformats.org/officeDocument/2006/relationships/hyperlink" Target="http://www.commerce.wa.gov.au/sites/default/files/atoms/files/002993.safety.comms_.docx" TargetMode="External"/><Relationship Id="rId40" Type="http://schemas.openxmlformats.org/officeDocument/2006/relationships/hyperlink" Target="https://www.legislation.wa.gov.au/legislation/statutes.nsf/law_s4641.html" TargetMode="External"/><Relationship Id="rId45" Type="http://schemas.openxmlformats.org/officeDocument/2006/relationships/hyperlink" Target="https://www.legislation.wa.gov.au/legislation/statutes.nsf/law_a597.html" TargetMode="External"/><Relationship Id="rId53" Type="http://schemas.openxmlformats.org/officeDocument/2006/relationships/header" Target="header4.xml"/><Relationship Id="rId58"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hyperlink" Target="https://www.commerce.wa.gov.au/sites/default/files/atoms/files/002991.safety.comm_.docx" TargetMode="External"/><Relationship Id="rId36" Type="http://schemas.openxmlformats.org/officeDocument/2006/relationships/hyperlink" Target="http://www.commerce.wa.gov.au/sites/default/files/atoms/files/002992.safety.comms_.docx" TargetMode="External"/><Relationship Id="rId49" Type="http://schemas.openxmlformats.org/officeDocument/2006/relationships/hyperlink" Target="https://www.legislation.wa.gov.au/legislation/statutes.nsf/law_s38305.html" TargetMode="External"/><Relationship Id="rId57" Type="http://schemas.openxmlformats.org/officeDocument/2006/relationships/header" Target="header6.xm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safeworkaustralia.gov.au/doc/model-work-health-and-safety-regulations" TargetMode="External"/><Relationship Id="rId31" Type="http://schemas.openxmlformats.org/officeDocument/2006/relationships/hyperlink" Target="http://www.commerce.wa.gov.au/sites/default/files/atoms/files/002978.safety.comms_.docx" TargetMode="External"/><Relationship Id="rId44" Type="http://schemas.openxmlformats.org/officeDocument/2006/relationships/hyperlink" Target="https://www.legislation.wa.gov.au/legislation/statutes.nsf/law_s40756.html" TargetMode="External"/><Relationship Id="rId52" Type="http://schemas.openxmlformats.org/officeDocument/2006/relationships/hyperlink" Target="https://www.legislation.wa.gov.au/legislation/statutes.nsf/law_s39452.html" TargetMode="Externa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hyperlink" Target="https://www.safeworkaustralia.gov.au/doc/model-work-health-and-safety-regulations" TargetMode="External"/><Relationship Id="rId30" Type="http://schemas.openxmlformats.org/officeDocument/2006/relationships/hyperlink" Target="https://www.commerce.wa.gov.au/sites/default/files/atoms/files/002237.safety.comms__0.docx" TargetMode="External"/><Relationship Id="rId35" Type="http://schemas.openxmlformats.org/officeDocument/2006/relationships/hyperlink" Target="https://www.legislation.wa.gov.au/legislation/statutes.nsf/law_s48065.html" TargetMode="External"/><Relationship Id="rId43" Type="http://schemas.openxmlformats.org/officeDocument/2006/relationships/hyperlink" Target="https://www.legislation.wa.gov.au/legislation/statutes.nsf/law_s40757.html" TargetMode="External"/><Relationship Id="rId48" Type="http://schemas.openxmlformats.org/officeDocument/2006/relationships/hyperlink" Target="https://www.legislation.wa.gov.au/legislation/statutes.nsf/law_s38339.html" TargetMode="External"/><Relationship Id="rId56" Type="http://schemas.openxmlformats.org/officeDocument/2006/relationships/footer" Target="footer5.xml"/><Relationship Id="rId8" Type="http://schemas.openxmlformats.org/officeDocument/2006/relationships/settings" Target="settings.xml"/><Relationship Id="rId51" Type="http://schemas.openxmlformats.org/officeDocument/2006/relationships/hyperlink" Target="https://www.legislation.wa.gov.au/legislation/statutes.nsf/law_s38371.html"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safeworkaustralia.gov.au/doc/review-model-whs-laws-final-report" TargetMode="External"/><Relationship Id="rId33" Type="http://schemas.openxmlformats.org/officeDocument/2006/relationships/hyperlink" Target="https://www.safeworkaustralia.gov.au/doc/model-work-health-and-safety-regulations" TargetMode="External"/><Relationship Id="rId38" Type="http://schemas.openxmlformats.org/officeDocument/2006/relationships/hyperlink" Target="http://www.commerce.wa.gov.au/sites/default/files/atoms/files/002994.safety.comms_.docx" TargetMode="External"/><Relationship Id="rId46" Type="http://schemas.openxmlformats.org/officeDocument/2006/relationships/hyperlink" Target="https://www.legislation.wa.gov.au/legislation/statutes.nsf/law_s39453.html" TargetMode="External"/><Relationship Id="rId59"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qms.internal.dom/corporate/Templates/DT_ReportGeneral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7B5B2C66A449238622173D391AD44B"/>
        <w:category>
          <w:name w:val="General"/>
          <w:gallery w:val="placeholder"/>
        </w:category>
        <w:types>
          <w:type w:val="bbPlcHdr"/>
        </w:types>
        <w:behaviors>
          <w:behavior w:val="content"/>
        </w:behaviors>
        <w:guid w:val="{46EB352D-8E68-4EE2-84E0-06F7129F6A25}"/>
      </w:docPartPr>
      <w:docPartBody>
        <w:p w:rsidR="00257409" w:rsidRDefault="003A06E2">
          <w:pPr>
            <w:pStyle w:val="3B7B5B2C66A449238622173D391AD44B"/>
          </w:pPr>
          <w:r w:rsidRPr="00623C56">
            <w:rPr>
              <w:rStyle w:val="PlaceholderText"/>
              <w:rFonts w:eastAsiaTheme="majorEastAsia"/>
              <w:sz w:val="60"/>
              <w:szCs w:val="60"/>
            </w:rPr>
            <w:t>Enter Report Title</w:t>
          </w:r>
        </w:p>
      </w:docPartBody>
    </w:docPart>
    <w:docPart>
      <w:docPartPr>
        <w:name w:val="BC005311BAE04B6B9C85EACADD9EAC77"/>
        <w:category>
          <w:name w:val="General"/>
          <w:gallery w:val="placeholder"/>
        </w:category>
        <w:types>
          <w:type w:val="bbPlcHdr"/>
        </w:types>
        <w:behaviors>
          <w:behavior w:val="content"/>
        </w:behaviors>
        <w:guid w:val="{913DD168-8BF0-4749-8805-29D133D95C38}"/>
      </w:docPartPr>
      <w:docPartBody>
        <w:p w:rsidR="005E4E39" w:rsidRDefault="00F55EA7" w:rsidP="00F55EA7">
          <w:pPr>
            <w:pStyle w:val="BC005311BAE04B6B9C85EACADD9EAC77"/>
          </w:pPr>
          <w:r>
            <w:rPr>
              <w:rStyle w:val="PlaceholderText"/>
            </w:rPr>
            <w:t>Enter Report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6E2"/>
    <w:rsid w:val="00073AEC"/>
    <w:rsid w:val="00080717"/>
    <w:rsid w:val="00205A74"/>
    <w:rsid w:val="00257409"/>
    <w:rsid w:val="00313D29"/>
    <w:rsid w:val="00367C60"/>
    <w:rsid w:val="003A06E2"/>
    <w:rsid w:val="005D10E5"/>
    <w:rsid w:val="005E4E39"/>
    <w:rsid w:val="00696CA3"/>
    <w:rsid w:val="009C0DB1"/>
    <w:rsid w:val="00AC3106"/>
    <w:rsid w:val="00B329CA"/>
    <w:rsid w:val="00E47897"/>
    <w:rsid w:val="00F55EA7"/>
    <w:rsid w:val="00FE42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EA7"/>
    <w:rPr>
      <w:color w:val="808080"/>
    </w:rPr>
  </w:style>
  <w:style w:type="paragraph" w:customStyle="1" w:styleId="3B7B5B2C66A449238622173D391AD44B">
    <w:name w:val="3B7B5B2C66A449238622173D391AD44B"/>
  </w:style>
  <w:style w:type="paragraph" w:customStyle="1" w:styleId="ADCC369AFD444D4B99C5836DA80E9A57">
    <w:name w:val="ADCC369AFD444D4B99C5836DA80E9A57"/>
  </w:style>
  <w:style w:type="paragraph" w:customStyle="1" w:styleId="6FC29E9400BA4BCFA3A6F47F94E6213A">
    <w:name w:val="6FC29E9400BA4BCFA3A6F47F94E6213A"/>
  </w:style>
  <w:style w:type="paragraph" w:customStyle="1" w:styleId="63B39FECD8F6447682CD25BFFEB51097">
    <w:name w:val="63B39FECD8F6447682CD25BFFEB51097"/>
    <w:rsid w:val="00F55EA7"/>
  </w:style>
  <w:style w:type="paragraph" w:customStyle="1" w:styleId="BC005311BAE04B6B9C85EACADD9EAC77">
    <w:name w:val="BC005311BAE04B6B9C85EACADD9EAC77"/>
    <w:rsid w:val="00F55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7aadd75-fb41-49d7-866d-414b51aa1b7e" ContentTypeId="0x0101000AC6246A9CD2FC45B52DC6FEC0F0AAAA"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002977.safety.comms</OurDocsDocId>
    <OurDocsVersionCreatedBy xmlns="dce3ed02-b0cd-470d-9119-e5f1a2533a21">MIRSDBN</OurDocsVersionCreatedBy>
    <OurDocsIsLocked xmlns="dce3ed02-b0cd-470d-9119-e5f1a2533a21">false</OurDocsIsLocked>
    <OurDocsDocumentType xmlns="dce3ed02-b0cd-470d-9119-e5f1a2533a21">Other</OurDocsDocumentType>
    <OurDocsFileNumbers xmlns="dce3ed02-b0cd-470d-9119-e5f1a2533a21" xsi:nil="true"/>
    <OurDocsLockedOnBehalfOf xmlns="dce3ed02-b0cd-470d-9119-e5f1a2533a21" xsi:nil="true"/>
    <OurDocsDocumentDate xmlns="dce3ed02-b0cd-470d-9119-e5f1a2533a21">2019-08-20T16:00:00+00:00</OurDocsDocumentDate>
    <OurDocsVersionCreatedAt xmlns="dce3ed02-b0cd-470d-9119-e5f1a2533a21">2019-08-21T04:43:25+00:00</OurDocsVersionCreatedAt>
    <OurDocsReleaseClassification xmlns="dce3ed02-b0cd-470d-9119-e5f1a2533a21">Departmental Use Only</OurDocsReleaseClassification>
    <OurDocsTitle xmlns="dce3ed02-b0cd-470d-9119-e5f1a2533a21">1. Review Process Summary – Develop WHS WA Regs</OurDocsTitle>
    <OurDocsLocation xmlns="dce3ed02-b0cd-470d-9119-e5f1a2533a21">Perth</OurDocsLocation>
    <OurDocsDescription xmlns="dce3ed02-b0cd-470d-9119-e5f1a2533a21">For 23 Aug upload</OurDocsDescription>
    <OurDocsVersionReason xmlns="dce3ed02-b0cd-470d-9119-e5f1a2533a21" xsi:nil="true"/>
    <OurDocsAuthor xmlns="dce3ed02-b0cd-470d-9119-e5f1a2533a21">MOORE, Bec</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BBD7F-1A49-4149-A6DF-F78EF4E0A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181FC-151F-46E0-B234-25E7F3869094}">
  <ds:schemaRefs>
    <ds:schemaRef ds:uri="Microsoft.SharePoint.Taxonomy.ContentTypeSync"/>
  </ds:schemaRefs>
</ds:datastoreItem>
</file>

<file path=customXml/itemProps3.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4.xml><?xml version="1.0" encoding="utf-8"?>
<ds:datastoreItem xmlns:ds="http://schemas.openxmlformats.org/officeDocument/2006/customXml" ds:itemID="{05D0ADC5-CA70-492B-ADE4-CBBC617A2699}">
  <ds:schemaRefs>
    <ds:schemaRef ds:uri="http://schemas.microsoft.com/office/2006/metadata/properties"/>
    <ds:schemaRef ds:uri="http://schemas.microsoft.com/office/infopath/2007/PartnerControls"/>
    <ds:schemaRef ds:uri="dce3ed02-b0cd-470d-9119-e5f1a2533a21"/>
  </ds:schemaRefs>
</ds:datastoreItem>
</file>

<file path=customXml/itemProps5.xml><?xml version="1.0" encoding="utf-8"?>
<ds:datastoreItem xmlns:ds="http://schemas.openxmlformats.org/officeDocument/2006/customXml" ds:itemID="{4863DA5B-5491-431B-9BA3-2501768C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DT_ReportGeneralCover</Template>
  <TotalTime>12</TotalTime>
  <Pages>12</Pages>
  <Words>3494</Words>
  <Characters>19708</Characters>
  <Application>Microsoft Office Word</Application>
  <DocSecurity>0</DocSecurity>
  <Lines>458</Lines>
  <Paragraphs>254</Paragraphs>
  <ScaleCrop>false</ScaleCrop>
  <HeadingPairs>
    <vt:vector size="2" baseType="variant">
      <vt:variant>
        <vt:lpstr>Title</vt:lpstr>
      </vt:variant>
      <vt:variant>
        <vt:i4>1</vt:i4>
      </vt:variant>
    </vt:vector>
  </HeadingPairs>
  <TitlesOfParts>
    <vt:vector size="1" baseType="lpstr">
      <vt:lpstr>1. Review Process Summary – Develop WHS WA Regs</vt:lpstr>
    </vt:vector>
  </TitlesOfParts>
  <Company>Department of Mines, Industry Regulation and Safety</Company>
  <LinksUpToDate>false</LinksUpToDate>
  <CharactersWithSpaces>22948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Review Process Summary – Develop WHS WA Regs</dc:title>
  <dc:creator>MOORE, Bec</dc:creator>
  <dc:description>FileNo=&lt;!&gt;</dc:description>
  <cp:lastModifiedBy>STAIN, Lin</cp:lastModifiedBy>
  <cp:revision>4</cp:revision>
  <cp:lastPrinted>2015-09-24T03:11:00Z</cp:lastPrinted>
  <dcterms:created xsi:type="dcterms:W3CDTF">2019-08-26T04:40:00Z</dcterms:created>
  <dcterms:modified xsi:type="dcterms:W3CDTF">2019-08-26T04:57:00Z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alTemplatesBranding">
    <vt:lpwstr>Agency</vt:lpwstr>
  </property>
  <property fmtid="{D5CDD505-2E9C-101B-9397-08002B2CF9AE}" pid="3" name="IsRecordsDocument">
    <vt:bool>true</vt:bool>
  </property>
  <property fmtid="{D5CDD505-2E9C-101B-9397-08002B2CF9AE}" pid="4" name="DocumentType">
    <vt:lpwstr>Report</vt:lpwstr>
  </property>
  <property fmtid="{D5CDD505-2E9C-101B-9397-08002B2CF9AE}" pid="5" name="ReleaseClassification">
    <vt:lpwstr>For Public Release</vt:lpwstr>
  </property>
  <property fmtid="{D5CDD505-2E9C-101B-9397-08002B2CF9AE}" pid="6" name="ContentTypeId">
    <vt:lpwstr>0x0101000AC6246A9CD2FC45B52DC6FEC0F0AAAA00BA93749351D2F843A36296955CF57A87</vt:lpwstr>
  </property>
</Properties>
</file>