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13" w:rsidRPr="006E6EDC" w:rsidRDefault="00D21736" w:rsidP="00542C5F">
      <w:pPr>
        <w:jc w:val="center"/>
        <w:rPr>
          <w:b/>
          <w:sz w:val="32"/>
          <w:szCs w:val="32"/>
        </w:rPr>
      </w:pPr>
      <w:r w:rsidRPr="006E6EDC">
        <w:rPr>
          <w:b/>
          <w:sz w:val="32"/>
          <w:szCs w:val="32"/>
        </w:rPr>
        <w:t>DEPARTMENT OF COMMER</w:t>
      </w:r>
      <w:r w:rsidR="00412E13" w:rsidRPr="006E6EDC">
        <w:rPr>
          <w:b/>
          <w:sz w:val="32"/>
          <w:szCs w:val="32"/>
        </w:rPr>
        <w:t>CE</w:t>
      </w:r>
      <w:r w:rsidRPr="006E6EDC">
        <w:rPr>
          <w:b/>
          <w:sz w:val="32"/>
          <w:szCs w:val="32"/>
        </w:rPr>
        <w:t xml:space="preserve"> - </w:t>
      </w:r>
      <w:r w:rsidR="00412E13" w:rsidRPr="006E6EDC">
        <w:rPr>
          <w:b/>
          <w:sz w:val="32"/>
          <w:szCs w:val="32"/>
        </w:rPr>
        <w:t>Property Industries Directorate, Consumer Protection</w:t>
      </w:r>
    </w:p>
    <w:p w:rsidR="00A838A9" w:rsidRPr="006E6EDC" w:rsidRDefault="00412E13" w:rsidP="00E10F5D">
      <w:pPr>
        <w:spacing w:before="60" w:after="240"/>
        <w:jc w:val="center"/>
      </w:pPr>
      <w:r w:rsidRPr="006E6EDC">
        <w:rPr>
          <w:b/>
          <w:sz w:val="32"/>
          <w:szCs w:val="32"/>
        </w:rPr>
        <w:t xml:space="preserve">PAST PUBLICATIONS – ARCHIVE LIST:- </w:t>
      </w:r>
      <w:r w:rsidR="001544CC" w:rsidRPr="006E6EDC">
        <w:rPr>
          <w:b/>
          <w:sz w:val="32"/>
          <w:szCs w:val="32"/>
        </w:rPr>
        <w:t>“</w:t>
      </w:r>
      <w:r w:rsidR="008B6601" w:rsidRPr="006E6EDC">
        <w:rPr>
          <w:b/>
          <w:sz w:val="32"/>
          <w:szCs w:val="32"/>
        </w:rPr>
        <w:t xml:space="preserve">REAL ESTATE </w:t>
      </w:r>
      <w:r w:rsidR="00097D49" w:rsidRPr="006E6EDC">
        <w:rPr>
          <w:b/>
          <w:sz w:val="32"/>
          <w:szCs w:val="32"/>
        </w:rPr>
        <w:t>NEWS</w:t>
      </w:r>
      <w:r w:rsidR="001544CC" w:rsidRPr="006E6EDC">
        <w:rPr>
          <w:b/>
          <w:sz w:val="32"/>
          <w:szCs w:val="32"/>
        </w:rPr>
        <w:t>”</w:t>
      </w: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EF42BE">
        <w:tc>
          <w:tcPr>
            <w:tcW w:w="1361" w:type="dxa"/>
            <w:shd w:val="clear" w:color="auto" w:fill="D9D9D9" w:themeFill="background1" w:themeFillShade="D9"/>
          </w:tcPr>
          <w:p w:rsidR="00D21736" w:rsidRPr="006E6EDC" w:rsidRDefault="00D21736" w:rsidP="00B165DC">
            <w:pPr>
              <w:spacing w:before="60" w:after="60"/>
              <w:rPr>
                <w:b/>
                <w:sz w:val="24"/>
                <w:szCs w:val="24"/>
              </w:rPr>
            </w:pPr>
            <w:r w:rsidRPr="006E6EDC">
              <w:rPr>
                <w:b/>
                <w:sz w:val="24"/>
                <w:szCs w:val="24"/>
              </w:rPr>
              <w:t>DATE / NO.</w:t>
            </w:r>
          </w:p>
        </w:tc>
        <w:tc>
          <w:tcPr>
            <w:tcW w:w="3792" w:type="dxa"/>
            <w:shd w:val="clear" w:color="auto" w:fill="D9D9D9" w:themeFill="background1" w:themeFillShade="D9"/>
          </w:tcPr>
          <w:p w:rsidR="00D21736" w:rsidRPr="006E6EDC" w:rsidRDefault="003F065D" w:rsidP="00B165DC">
            <w:pPr>
              <w:spacing w:before="60" w:after="60"/>
              <w:rPr>
                <w:b/>
                <w:sz w:val="24"/>
                <w:szCs w:val="24"/>
              </w:rPr>
            </w:pPr>
            <w:r w:rsidRPr="006E6EDC">
              <w:rPr>
                <w:b/>
                <w:sz w:val="24"/>
                <w:szCs w:val="24"/>
              </w:rPr>
              <w:t>ISSUE</w:t>
            </w:r>
            <w:r w:rsidR="00D21736" w:rsidRPr="006E6EDC">
              <w:rPr>
                <w:b/>
                <w:sz w:val="24"/>
                <w:szCs w:val="24"/>
              </w:rPr>
              <w:t xml:space="preserve"> / TITLE </w:t>
            </w:r>
          </w:p>
        </w:tc>
        <w:tc>
          <w:tcPr>
            <w:tcW w:w="9824" w:type="dxa"/>
            <w:shd w:val="clear" w:color="auto" w:fill="D9D9D9" w:themeFill="background1" w:themeFillShade="D9"/>
          </w:tcPr>
          <w:p w:rsidR="00D21736" w:rsidRPr="006E6EDC" w:rsidRDefault="00D21736" w:rsidP="00B165DC">
            <w:pPr>
              <w:spacing w:before="60" w:after="60"/>
              <w:rPr>
                <w:b/>
                <w:sz w:val="24"/>
                <w:szCs w:val="24"/>
              </w:rPr>
            </w:pPr>
            <w:r w:rsidRPr="006E6EDC">
              <w:rPr>
                <w:b/>
                <w:sz w:val="24"/>
                <w:szCs w:val="24"/>
              </w:rPr>
              <w:t>CONTENT SUMMARY</w:t>
            </w:r>
          </w:p>
        </w:tc>
      </w:tr>
      <w:tr w:rsidR="006E6EDC" w:rsidRPr="006E6EDC" w:rsidTr="00EF42BE">
        <w:tc>
          <w:tcPr>
            <w:tcW w:w="1361" w:type="dxa"/>
          </w:tcPr>
          <w:p w:rsidR="001A4813" w:rsidRDefault="00D06FF8" w:rsidP="001A4813">
            <w:pPr>
              <w:spacing w:before="120"/>
              <w:rPr>
                <w:rFonts w:ascii="Arial" w:hAnsi="Arial" w:cs="Arial"/>
                <w:b/>
                <w:bCs/>
                <w:sz w:val="20"/>
                <w:szCs w:val="20"/>
              </w:rPr>
            </w:pPr>
            <w:r w:rsidRPr="006E6EDC">
              <w:rPr>
                <w:rFonts w:ascii="Arial" w:hAnsi="Arial" w:cs="Arial"/>
                <w:sz w:val="20"/>
                <w:szCs w:val="20"/>
              </w:rPr>
              <w:br w:type="page"/>
            </w:r>
            <w:r w:rsidR="001A4813">
              <w:rPr>
                <w:rFonts w:ascii="Arial" w:hAnsi="Arial" w:cs="Arial"/>
                <w:b/>
                <w:bCs/>
                <w:sz w:val="20"/>
                <w:szCs w:val="20"/>
              </w:rPr>
              <w:t>May 2014</w:t>
            </w:r>
          </w:p>
          <w:p w:rsidR="00D21736" w:rsidRPr="006E6EDC" w:rsidRDefault="001A4813" w:rsidP="001A4813">
            <w:pPr>
              <w:spacing w:before="120"/>
              <w:rPr>
                <w:rFonts w:ascii="Arial" w:hAnsi="Arial" w:cs="Arial"/>
                <w:sz w:val="20"/>
                <w:szCs w:val="20"/>
              </w:rPr>
            </w:pPr>
            <w:r>
              <w:rPr>
                <w:rFonts w:ascii="Arial" w:hAnsi="Arial" w:cs="Arial"/>
                <w:b/>
                <w:bCs/>
                <w:sz w:val="20"/>
                <w:szCs w:val="20"/>
              </w:rPr>
              <w:t>No. 9</w:t>
            </w:r>
          </w:p>
        </w:tc>
        <w:tc>
          <w:tcPr>
            <w:tcW w:w="3792" w:type="dxa"/>
          </w:tcPr>
          <w:p w:rsidR="001A4813" w:rsidRPr="00313D27" w:rsidRDefault="001A4813" w:rsidP="00313D27">
            <w:pPr>
              <w:pStyle w:val="ListParagraph"/>
              <w:numPr>
                <w:ilvl w:val="0"/>
                <w:numId w:val="20"/>
              </w:numPr>
              <w:autoSpaceDE w:val="0"/>
              <w:autoSpaceDN w:val="0"/>
              <w:adjustRightInd w:val="0"/>
              <w:spacing w:before="120" w:line="201" w:lineRule="atLeast"/>
              <w:ind w:left="340"/>
              <w:rPr>
                <w:rFonts w:ascii="Arial" w:hAnsi="Arial" w:cs="Arial"/>
                <w:b/>
                <w:sz w:val="20"/>
                <w:szCs w:val="20"/>
              </w:rPr>
            </w:pPr>
            <w:r w:rsidRPr="00313D27">
              <w:rPr>
                <w:rFonts w:ascii="Arial" w:hAnsi="Arial" w:cs="Arial"/>
                <w:b/>
                <w:sz w:val="20"/>
                <w:szCs w:val="20"/>
              </w:rPr>
              <w:t xml:space="preserve">Important reminder: curtain and blind cords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RCDs – what you need to know</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Geraldton landlord fined for failing to lodge bond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Reminder about issuing notice to terminate a fixed-term lease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Updated bond information for agents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Reclassification of ‘guide dog’ in Dog Act 1976 </w:t>
            </w:r>
          </w:p>
          <w:p w:rsidR="00313D27" w:rsidRPr="00313D27" w:rsidRDefault="00313D27" w:rsidP="00313D27">
            <w:pPr>
              <w:autoSpaceDE w:val="0"/>
              <w:autoSpaceDN w:val="0"/>
              <w:adjustRightInd w:val="0"/>
              <w:spacing w:line="201" w:lineRule="atLeast"/>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Alternative providers of criminal history checks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New Australians’ interpreting service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Breaking tenancy law costs two landlords $3,000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Reminder to maintain current contact details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‘No Junk Mail’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1A48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Boarders and lodgers </w:t>
            </w:r>
          </w:p>
          <w:p w:rsidR="00313D27" w:rsidRPr="00313D27" w:rsidRDefault="00313D27" w:rsidP="00313D27">
            <w:pPr>
              <w:pStyle w:val="ListParagraph"/>
              <w:autoSpaceDE w:val="0"/>
              <w:autoSpaceDN w:val="0"/>
              <w:adjustRightInd w:val="0"/>
              <w:spacing w:line="201" w:lineRule="atLeast"/>
              <w:ind w:left="340"/>
              <w:rPr>
                <w:rFonts w:ascii="Arial" w:hAnsi="Arial" w:cs="Arial"/>
                <w:b/>
                <w:sz w:val="20"/>
                <w:szCs w:val="20"/>
              </w:rPr>
            </w:pPr>
          </w:p>
          <w:p w:rsidR="00412E13" w:rsidRPr="00313D27" w:rsidRDefault="001A4813" w:rsidP="00313D27">
            <w:pPr>
              <w:pStyle w:val="ListParagraph"/>
              <w:numPr>
                <w:ilvl w:val="0"/>
                <w:numId w:val="20"/>
              </w:numPr>
              <w:autoSpaceDE w:val="0"/>
              <w:autoSpaceDN w:val="0"/>
              <w:adjustRightInd w:val="0"/>
              <w:spacing w:line="201" w:lineRule="atLeast"/>
              <w:ind w:left="340"/>
              <w:rPr>
                <w:rFonts w:ascii="Arial" w:hAnsi="Arial" w:cs="Arial"/>
                <w:b/>
                <w:sz w:val="20"/>
                <w:szCs w:val="20"/>
              </w:rPr>
            </w:pPr>
            <w:r w:rsidRPr="00313D27">
              <w:rPr>
                <w:rFonts w:ascii="Arial" w:hAnsi="Arial" w:cs="Arial"/>
                <w:b/>
                <w:sz w:val="20"/>
                <w:szCs w:val="20"/>
              </w:rPr>
              <w:t xml:space="preserve">Removing the PM condition on your registration </w:t>
            </w:r>
          </w:p>
        </w:tc>
        <w:tc>
          <w:tcPr>
            <w:tcW w:w="9824" w:type="dxa"/>
          </w:tcPr>
          <w:p w:rsidR="008B2A43" w:rsidRDefault="008B2A43" w:rsidP="008B2A43">
            <w:pPr>
              <w:pStyle w:val="ListParagraph"/>
              <w:spacing w:before="120" w:after="240"/>
              <w:ind w:left="360"/>
              <w:jc w:val="both"/>
              <w:rPr>
                <w:rFonts w:ascii="Arial" w:hAnsi="Arial" w:cs="Arial"/>
                <w:sz w:val="20"/>
                <w:szCs w:val="20"/>
              </w:rPr>
            </w:pPr>
          </w:p>
          <w:p w:rsidR="00313D27" w:rsidRDefault="00313D27" w:rsidP="008B2A43">
            <w:pPr>
              <w:pStyle w:val="ListParagraph"/>
              <w:numPr>
                <w:ilvl w:val="0"/>
                <w:numId w:val="7"/>
              </w:numPr>
              <w:spacing w:before="120" w:after="240"/>
              <w:jc w:val="both"/>
              <w:rPr>
                <w:rFonts w:ascii="Arial" w:hAnsi="Arial" w:cs="Arial"/>
                <w:sz w:val="20"/>
                <w:szCs w:val="20"/>
              </w:rPr>
            </w:pPr>
            <w:r w:rsidRPr="00313D27">
              <w:rPr>
                <w:rFonts w:ascii="Arial" w:hAnsi="Arial" w:cs="Arial"/>
                <w:sz w:val="20"/>
                <w:szCs w:val="20"/>
              </w:rPr>
              <w:t xml:space="preserve">The recent deaths of two toddlers in Sydney after they become entangled in blind cords highlights the dangers blind and curtain cords can present to children. According to the Australian Competition and Consumer Commission (the ACCC), between one and two Australian children die each year after becoming entangled in blind cords. Since 1999, 17 children have died in this way. </w:t>
            </w:r>
          </w:p>
          <w:p w:rsidR="00313D27" w:rsidRDefault="00313D27" w:rsidP="00196BAA">
            <w:pPr>
              <w:pStyle w:val="ListParagraph"/>
              <w:spacing w:before="120" w:after="240"/>
              <w:ind w:left="360"/>
              <w:jc w:val="both"/>
              <w:rPr>
                <w:rFonts w:ascii="Arial" w:hAnsi="Arial" w:cs="Arial"/>
                <w:sz w:val="20"/>
                <w:szCs w:val="20"/>
              </w:rPr>
            </w:pPr>
          </w:p>
          <w:p w:rsidR="00313D27" w:rsidRPr="00313D27" w:rsidRDefault="00313D27" w:rsidP="00196BAA">
            <w:pPr>
              <w:pStyle w:val="ListParagraph"/>
              <w:numPr>
                <w:ilvl w:val="0"/>
                <w:numId w:val="7"/>
              </w:numPr>
              <w:jc w:val="both"/>
              <w:rPr>
                <w:rFonts w:ascii="Arial" w:hAnsi="Arial" w:cs="Arial"/>
                <w:sz w:val="20"/>
                <w:szCs w:val="20"/>
              </w:rPr>
            </w:pPr>
            <w:r w:rsidRPr="00313D27">
              <w:rPr>
                <w:rFonts w:ascii="Arial" w:hAnsi="Arial" w:cs="Arial"/>
                <w:sz w:val="20"/>
                <w:szCs w:val="20"/>
              </w:rPr>
              <w:t xml:space="preserve">According to </w:t>
            </w:r>
            <w:r w:rsidRPr="00313D27">
              <w:rPr>
                <w:rFonts w:ascii="Arial" w:hAnsi="Arial" w:cs="Arial"/>
                <w:bCs/>
                <w:sz w:val="20"/>
                <w:szCs w:val="20"/>
              </w:rPr>
              <w:t>Energy</w:t>
            </w:r>
            <w:r w:rsidRPr="00313D27">
              <w:rPr>
                <w:rFonts w:ascii="Arial" w:hAnsi="Arial" w:cs="Arial"/>
                <w:bCs/>
                <w:i/>
                <w:iCs/>
                <w:sz w:val="20"/>
                <w:szCs w:val="20"/>
              </w:rPr>
              <w:t>Safety</w:t>
            </w:r>
            <w:r w:rsidRPr="00313D27">
              <w:rPr>
                <w:rFonts w:ascii="Arial" w:hAnsi="Arial" w:cs="Arial"/>
                <w:sz w:val="20"/>
                <w:szCs w:val="20"/>
              </w:rPr>
              <w:t>, 23 of the 29 people who have died in WA as a result of electrocution in the past 17 years could have been saved if Residual Current Devices (RCDs) had been fitted to power and lighting circuits.   In 2009 the State Government enacted legislation requiring a minimum of two RCDs to protect all power point and</w:t>
            </w:r>
            <w:r w:rsidRPr="00313D27">
              <w:rPr>
                <w:rFonts w:ascii="Arial" w:hAnsi="Arial" w:cs="Arial"/>
                <w:color w:val="000000"/>
                <w:sz w:val="20"/>
                <w:szCs w:val="20"/>
              </w:rPr>
              <w:t xml:space="preserve"> </w:t>
            </w:r>
            <w:r w:rsidRPr="00313D27">
              <w:rPr>
                <w:rFonts w:ascii="Arial" w:hAnsi="Arial" w:cs="Arial"/>
                <w:sz w:val="20"/>
                <w:szCs w:val="20"/>
              </w:rPr>
              <w:t>lighting final sub-circuits whenever a home is sold or offered for rent.</w:t>
            </w:r>
          </w:p>
          <w:p w:rsidR="00313D27" w:rsidRPr="00313D27" w:rsidRDefault="00313D27" w:rsidP="00196BAA">
            <w:pPr>
              <w:pStyle w:val="ListParagraph"/>
              <w:spacing w:before="120"/>
              <w:ind w:left="360"/>
              <w:jc w:val="both"/>
              <w:rPr>
                <w:rFonts w:ascii="Arial" w:hAnsi="Arial" w:cs="Arial"/>
                <w:sz w:val="20"/>
                <w:szCs w:val="20"/>
              </w:rPr>
            </w:pPr>
          </w:p>
          <w:p w:rsidR="00196BAA" w:rsidRDefault="00196BAA" w:rsidP="00196BAA">
            <w:pPr>
              <w:pStyle w:val="ListParagraph"/>
              <w:numPr>
                <w:ilvl w:val="0"/>
                <w:numId w:val="7"/>
              </w:numPr>
              <w:jc w:val="both"/>
              <w:rPr>
                <w:rFonts w:ascii="Arial" w:hAnsi="Arial" w:cs="Arial"/>
                <w:sz w:val="20"/>
                <w:szCs w:val="20"/>
              </w:rPr>
            </w:pPr>
            <w:r w:rsidRPr="00196BAA">
              <w:rPr>
                <w:rFonts w:ascii="Arial" w:hAnsi="Arial" w:cs="Arial"/>
                <w:sz w:val="20"/>
                <w:szCs w:val="20"/>
              </w:rPr>
              <w:t xml:space="preserve">Private landlord, John Lewis Donohoe of Geraldton, a former real estate agent has been fined a total of $2,500 by the Geraldton Magistrates Court for failing to deposit two of his tenants’ security bonds and failing to lodge the bond of a third tenant with the Bond Administrator within 14 days of receipt.  </w:t>
            </w:r>
          </w:p>
          <w:p w:rsidR="00A50C61" w:rsidRPr="00A50C61" w:rsidRDefault="00A50C61" w:rsidP="00A50C61">
            <w:pPr>
              <w:autoSpaceDE w:val="0"/>
              <w:autoSpaceDN w:val="0"/>
              <w:adjustRightInd w:val="0"/>
              <w:rPr>
                <w:rFonts w:ascii="Arial" w:hAnsi="Arial" w:cs="Arial"/>
                <w:color w:val="000000"/>
                <w:sz w:val="20"/>
                <w:szCs w:val="20"/>
              </w:rPr>
            </w:pPr>
          </w:p>
          <w:p w:rsidR="00A50C61" w:rsidRDefault="00A50C61" w:rsidP="00A50C61">
            <w:pPr>
              <w:pStyle w:val="ListParagraph"/>
              <w:numPr>
                <w:ilvl w:val="0"/>
                <w:numId w:val="7"/>
              </w:numPr>
              <w:jc w:val="both"/>
              <w:rPr>
                <w:rFonts w:ascii="Arial" w:hAnsi="Arial" w:cs="Arial"/>
                <w:sz w:val="20"/>
                <w:szCs w:val="20"/>
              </w:rPr>
            </w:pPr>
            <w:r w:rsidRPr="00A50C61">
              <w:rPr>
                <w:rFonts w:ascii="Arial" w:hAnsi="Arial" w:cs="Arial"/>
                <w:sz w:val="20"/>
                <w:szCs w:val="20"/>
              </w:rPr>
              <w:t xml:space="preserve">Department has recently been contacted by tenants who </w:t>
            </w:r>
            <w:r w:rsidR="009F44B9">
              <w:rPr>
                <w:rFonts w:ascii="Arial" w:hAnsi="Arial" w:cs="Arial"/>
                <w:sz w:val="20"/>
                <w:szCs w:val="20"/>
              </w:rPr>
              <w:t xml:space="preserve">were not aware of the </w:t>
            </w:r>
            <w:r w:rsidRPr="00A50C61">
              <w:rPr>
                <w:rFonts w:ascii="Arial" w:hAnsi="Arial" w:cs="Arial"/>
                <w:sz w:val="20"/>
                <w:szCs w:val="20"/>
              </w:rPr>
              <w:t xml:space="preserve">requirement to issue 30 days’ notice to terminate the end of a fixed-term agreement, even if the lease was signed prior to 1 July 2013. Tenants </w:t>
            </w:r>
            <w:r w:rsidR="009F44B9">
              <w:rPr>
                <w:rFonts w:ascii="Arial" w:hAnsi="Arial" w:cs="Arial"/>
                <w:sz w:val="20"/>
                <w:szCs w:val="20"/>
              </w:rPr>
              <w:t>are</w:t>
            </w:r>
            <w:r w:rsidRPr="00A50C61">
              <w:rPr>
                <w:rFonts w:ascii="Arial" w:hAnsi="Arial" w:cs="Arial"/>
                <w:sz w:val="20"/>
                <w:szCs w:val="20"/>
              </w:rPr>
              <w:t xml:space="preserve"> concer</w:t>
            </w:r>
            <w:r w:rsidR="009F44B9">
              <w:rPr>
                <w:rFonts w:ascii="Arial" w:hAnsi="Arial" w:cs="Arial"/>
                <w:sz w:val="20"/>
                <w:szCs w:val="20"/>
              </w:rPr>
              <w:t>ned</w:t>
            </w:r>
            <w:r w:rsidRPr="00A50C61">
              <w:rPr>
                <w:rFonts w:ascii="Arial" w:hAnsi="Arial" w:cs="Arial"/>
                <w:sz w:val="20"/>
                <w:szCs w:val="20"/>
              </w:rPr>
              <w:t xml:space="preserve"> that as it was not listed in their </w:t>
            </w:r>
            <w:r w:rsidR="0043130C" w:rsidRPr="00A50C61">
              <w:rPr>
                <w:rFonts w:ascii="Arial" w:hAnsi="Arial" w:cs="Arial"/>
                <w:sz w:val="20"/>
                <w:szCs w:val="20"/>
              </w:rPr>
              <w:t>lease</w:t>
            </w:r>
            <w:r w:rsidRPr="00A50C61">
              <w:rPr>
                <w:rFonts w:ascii="Arial" w:hAnsi="Arial" w:cs="Arial"/>
                <w:sz w:val="20"/>
                <w:szCs w:val="20"/>
              </w:rPr>
              <w:t xml:space="preserve"> and their property manager had not informed them of this requirement nor issued the notice themselves</w:t>
            </w:r>
            <w:r>
              <w:rPr>
                <w:rFonts w:ascii="Arial" w:hAnsi="Arial" w:cs="Arial"/>
                <w:sz w:val="20"/>
                <w:szCs w:val="20"/>
              </w:rPr>
              <w:t>.</w:t>
            </w:r>
          </w:p>
          <w:p w:rsidR="00A50C61" w:rsidRPr="00A50C61" w:rsidRDefault="00A50C61" w:rsidP="00A50C61">
            <w:pPr>
              <w:pStyle w:val="ListParagraph"/>
              <w:rPr>
                <w:rFonts w:ascii="Arial" w:hAnsi="Arial" w:cs="Arial"/>
                <w:sz w:val="20"/>
                <w:szCs w:val="20"/>
              </w:rPr>
            </w:pPr>
          </w:p>
          <w:p w:rsidR="005E320D" w:rsidRPr="00A50C61" w:rsidRDefault="003C57B4" w:rsidP="00A50C61">
            <w:pPr>
              <w:pStyle w:val="ListParagraph"/>
              <w:numPr>
                <w:ilvl w:val="0"/>
                <w:numId w:val="7"/>
              </w:numPr>
              <w:jc w:val="both"/>
              <w:rPr>
                <w:rFonts w:ascii="Arial" w:hAnsi="Arial" w:cs="Arial"/>
                <w:sz w:val="20"/>
                <w:szCs w:val="20"/>
              </w:rPr>
            </w:pPr>
            <w:r w:rsidRPr="00A50C61">
              <w:rPr>
                <w:rFonts w:ascii="Arial" w:hAnsi="Arial" w:cs="Arial"/>
                <w:sz w:val="20"/>
                <w:szCs w:val="20"/>
              </w:rPr>
              <w:t xml:space="preserve">It appears some agents are not aware that a receipt must be issued for a residential tenancy bond payment, including a bond instalment, even if the payment was made electronically by the tenant. The confusion may have arisen because the Real Estate and Business Agents Act 1978 (the REBA Act) and the Residential Tenancies Act 1987 (the RT Act) have differing requirements. </w:t>
            </w:r>
          </w:p>
          <w:p w:rsidR="003C57B4" w:rsidRPr="00A50C61" w:rsidRDefault="003C57B4" w:rsidP="00A50C61">
            <w:pPr>
              <w:pStyle w:val="ListParagraph"/>
              <w:jc w:val="both"/>
              <w:rPr>
                <w:rFonts w:ascii="Arial" w:hAnsi="Arial" w:cs="Arial"/>
                <w:color w:val="FF0000"/>
                <w:sz w:val="20"/>
                <w:szCs w:val="20"/>
              </w:rPr>
            </w:pPr>
          </w:p>
          <w:p w:rsidR="00A50C61" w:rsidRDefault="00A50C61" w:rsidP="00A50C61">
            <w:pPr>
              <w:pStyle w:val="ListParagraph"/>
              <w:numPr>
                <w:ilvl w:val="0"/>
                <w:numId w:val="7"/>
              </w:numPr>
              <w:autoSpaceDE w:val="0"/>
              <w:autoSpaceDN w:val="0"/>
              <w:adjustRightInd w:val="0"/>
              <w:spacing w:after="100"/>
              <w:jc w:val="both"/>
              <w:rPr>
                <w:rFonts w:ascii="Arial" w:hAnsi="Arial" w:cs="Arial"/>
                <w:sz w:val="20"/>
                <w:szCs w:val="20"/>
              </w:rPr>
            </w:pPr>
            <w:r w:rsidRPr="00A50C61">
              <w:rPr>
                <w:rFonts w:ascii="Arial" w:hAnsi="Arial" w:cs="Arial"/>
                <w:sz w:val="20"/>
                <w:szCs w:val="20"/>
              </w:rPr>
              <w:t xml:space="preserve">Under the Residential Tenancies Act 1987 (the RTA), section 29(1A) provides that the definition of a pet in relation to a security bond does not include a guide dog as per the definition under the Dog Act 1976 (the Dog Act). </w:t>
            </w:r>
          </w:p>
          <w:p w:rsidR="00A50C61" w:rsidRPr="00A50C61" w:rsidRDefault="00A50C61" w:rsidP="00A50C61">
            <w:pPr>
              <w:pStyle w:val="ListParagraph"/>
              <w:rPr>
                <w:rFonts w:ascii="Arial" w:hAnsi="Arial" w:cs="Arial"/>
                <w:sz w:val="20"/>
                <w:szCs w:val="20"/>
              </w:rPr>
            </w:pPr>
          </w:p>
          <w:p w:rsidR="00A50C61" w:rsidRDefault="00A50C61" w:rsidP="00A50C61">
            <w:pPr>
              <w:pStyle w:val="ListParagraph"/>
              <w:numPr>
                <w:ilvl w:val="0"/>
                <w:numId w:val="7"/>
              </w:numPr>
              <w:autoSpaceDE w:val="0"/>
              <w:autoSpaceDN w:val="0"/>
              <w:adjustRightInd w:val="0"/>
              <w:spacing w:after="100"/>
              <w:jc w:val="both"/>
              <w:rPr>
                <w:rFonts w:ascii="Arial" w:hAnsi="Arial" w:cs="Arial"/>
                <w:sz w:val="20"/>
                <w:szCs w:val="20"/>
              </w:rPr>
            </w:pPr>
            <w:r>
              <w:rPr>
                <w:rFonts w:ascii="Arial" w:hAnsi="Arial" w:cs="Arial"/>
                <w:sz w:val="20"/>
                <w:szCs w:val="20"/>
              </w:rPr>
              <w:t xml:space="preserve">The </w:t>
            </w:r>
            <w:r w:rsidRPr="00A50C61">
              <w:rPr>
                <w:rFonts w:ascii="Arial" w:hAnsi="Arial" w:cs="Arial"/>
                <w:sz w:val="20"/>
                <w:szCs w:val="20"/>
              </w:rPr>
              <w:t xml:space="preserve">Commissioner is trialling new arrangements to make it easier for industry participants to obtain their police checks. There are now several provider options available, with varying costs and ordering </w:t>
            </w:r>
            <w:r w:rsidRPr="00A50C61">
              <w:rPr>
                <w:rFonts w:ascii="Arial" w:hAnsi="Arial" w:cs="Arial"/>
                <w:sz w:val="20"/>
                <w:szCs w:val="20"/>
              </w:rPr>
              <w:lastRenderedPageBreak/>
              <w:t>choices, so real estate agents and sales representatives can find the most appropriate one</w:t>
            </w:r>
            <w:r>
              <w:rPr>
                <w:rFonts w:ascii="Arial" w:hAnsi="Arial" w:cs="Arial"/>
                <w:sz w:val="20"/>
                <w:szCs w:val="20"/>
              </w:rPr>
              <w:t>.</w:t>
            </w:r>
          </w:p>
          <w:p w:rsidR="00A50C61" w:rsidRPr="00A50C61" w:rsidRDefault="00A50C61" w:rsidP="00A50C61">
            <w:pPr>
              <w:pStyle w:val="ListParagraph"/>
              <w:jc w:val="both"/>
              <w:rPr>
                <w:rFonts w:ascii="Arial" w:hAnsi="Arial" w:cs="Arial"/>
                <w:sz w:val="20"/>
                <w:szCs w:val="20"/>
              </w:rPr>
            </w:pPr>
          </w:p>
          <w:p w:rsidR="00A50C61" w:rsidRDefault="00A50C61" w:rsidP="00A50C61">
            <w:pPr>
              <w:pStyle w:val="ListParagraph"/>
              <w:numPr>
                <w:ilvl w:val="0"/>
                <w:numId w:val="7"/>
              </w:numPr>
              <w:autoSpaceDE w:val="0"/>
              <w:autoSpaceDN w:val="0"/>
              <w:adjustRightInd w:val="0"/>
              <w:spacing w:after="100"/>
              <w:jc w:val="both"/>
              <w:rPr>
                <w:rFonts w:ascii="Arial" w:hAnsi="Arial" w:cs="Arial"/>
                <w:sz w:val="20"/>
                <w:szCs w:val="20"/>
              </w:rPr>
            </w:pPr>
            <w:r w:rsidRPr="00A50C61">
              <w:rPr>
                <w:rFonts w:ascii="Arial" w:hAnsi="Arial" w:cs="Arial"/>
                <w:sz w:val="20"/>
                <w:szCs w:val="20"/>
              </w:rPr>
              <w:t xml:space="preserve">Licenced real estate agencies operating in eligible areas of new settlement are now able to register with the Translating and Interpreting Service (TIS National) to access free phone interpreting services until 30 June 2015. </w:t>
            </w:r>
          </w:p>
          <w:p w:rsidR="00A50C61" w:rsidRPr="00A50C61" w:rsidRDefault="00A50C61" w:rsidP="00A50C61">
            <w:pPr>
              <w:pStyle w:val="ListParagraph"/>
              <w:jc w:val="both"/>
              <w:rPr>
                <w:rFonts w:ascii="Arial" w:hAnsi="Arial" w:cs="Arial"/>
                <w:sz w:val="20"/>
                <w:szCs w:val="20"/>
              </w:rPr>
            </w:pPr>
          </w:p>
          <w:p w:rsidR="00A50C61" w:rsidRDefault="00A50C61" w:rsidP="00A50C61">
            <w:pPr>
              <w:pStyle w:val="ListParagraph"/>
              <w:numPr>
                <w:ilvl w:val="0"/>
                <w:numId w:val="7"/>
              </w:numPr>
              <w:jc w:val="both"/>
              <w:rPr>
                <w:rFonts w:ascii="Arial" w:hAnsi="Arial" w:cs="Arial"/>
                <w:sz w:val="20"/>
                <w:szCs w:val="20"/>
              </w:rPr>
            </w:pPr>
            <w:r w:rsidRPr="00A50C61">
              <w:rPr>
                <w:rFonts w:ascii="Arial" w:hAnsi="Arial" w:cs="Arial"/>
                <w:sz w:val="20"/>
                <w:szCs w:val="20"/>
              </w:rPr>
              <w:t xml:space="preserve">A pair of private landlords who broke tenancy law by making their tenant pay too much bond money, not giving a receipt and not lodging the money with the Bond Administrator, have been ordered to pay $3,000 in fines and costs.  Steven and Nava Meyer pleaded guilty to three offences under the Residential Tenancies Act during a hearing in the Perth Magistrates Court on 2 December 2013. They were fined $1,000 and must pay costs of $2,000. </w:t>
            </w:r>
          </w:p>
          <w:p w:rsidR="00A50C61" w:rsidRPr="00A50C61" w:rsidRDefault="00A50C61" w:rsidP="00A50C61">
            <w:pPr>
              <w:pStyle w:val="ListParagraph"/>
              <w:rPr>
                <w:rFonts w:ascii="Arial" w:hAnsi="Arial" w:cs="Arial"/>
                <w:sz w:val="20"/>
                <w:szCs w:val="20"/>
              </w:rPr>
            </w:pPr>
          </w:p>
          <w:p w:rsidR="00A50C61" w:rsidRDefault="00A50C61" w:rsidP="00A50C61">
            <w:pPr>
              <w:pStyle w:val="ListParagraph"/>
              <w:numPr>
                <w:ilvl w:val="0"/>
                <w:numId w:val="7"/>
              </w:numPr>
              <w:autoSpaceDE w:val="0"/>
              <w:autoSpaceDN w:val="0"/>
              <w:adjustRightInd w:val="0"/>
              <w:rPr>
                <w:rFonts w:ascii="Arial" w:hAnsi="Arial" w:cs="Arial"/>
                <w:sz w:val="20"/>
                <w:szCs w:val="20"/>
              </w:rPr>
            </w:pPr>
            <w:r w:rsidRPr="00A50C61">
              <w:rPr>
                <w:rFonts w:ascii="Arial" w:hAnsi="Arial" w:cs="Arial"/>
                <w:sz w:val="20"/>
                <w:szCs w:val="20"/>
              </w:rPr>
              <w:t xml:space="preserve">Agents and sales representatives are reminded that it is their responsibility to keep the Commissioner up-to-date with any changes to their address and contact information. </w:t>
            </w:r>
          </w:p>
          <w:p w:rsidR="00A50C61" w:rsidRPr="00A50C61" w:rsidRDefault="00A50C61" w:rsidP="00A50C61">
            <w:pPr>
              <w:pStyle w:val="ListParagraph"/>
              <w:rPr>
                <w:rFonts w:ascii="Arial" w:hAnsi="Arial" w:cs="Arial"/>
                <w:sz w:val="20"/>
                <w:szCs w:val="20"/>
              </w:rPr>
            </w:pPr>
          </w:p>
          <w:p w:rsidR="00A50C61" w:rsidRDefault="00796B4F" w:rsidP="00796B4F">
            <w:pPr>
              <w:pStyle w:val="ListParagraph"/>
              <w:numPr>
                <w:ilvl w:val="0"/>
                <w:numId w:val="7"/>
              </w:numPr>
              <w:autoSpaceDE w:val="0"/>
              <w:autoSpaceDN w:val="0"/>
              <w:adjustRightInd w:val="0"/>
              <w:rPr>
                <w:rFonts w:ascii="Arial" w:hAnsi="Arial" w:cs="Arial"/>
                <w:sz w:val="20"/>
                <w:szCs w:val="20"/>
              </w:rPr>
            </w:pPr>
            <w:r w:rsidRPr="00796B4F">
              <w:rPr>
                <w:rFonts w:ascii="Arial" w:hAnsi="Arial" w:cs="Arial"/>
                <w:bCs/>
                <w:sz w:val="20"/>
                <w:szCs w:val="20"/>
              </w:rPr>
              <w:t xml:space="preserve">In November </w:t>
            </w:r>
            <w:r>
              <w:rPr>
                <w:rFonts w:ascii="Arial" w:hAnsi="Arial" w:cs="Arial"/>
                <w:bCs/>
                <w:sz w:val="20"/>
                <w:szCs w:val="20"/>
              </w:rPr>
              <w:t>2013</w:t>
            </w:r>
            <w:r w:rsidRPr="00796B4F">
              <w:rPr>
                <w:rFonts w:ascii="Arial" w:hAnsi="Arial" w:cs="Arial"/>
                <w:bCs/>
                <w:sz w:val="20"/>
                <w:szCs w:val="20"/>
              </w:rPr>
              <w:t>, the Department created a Do Not Knock sticker after a Federal Court ruling in South Australia confirmed consumers do not need to meet a door-to-door salesperson face-to-face to ask them to leave their house.</w:t>
            </w:r>
          </w:p>
          <w:p w:rsidR="00796B4F" w:rsidRPr="00796B4F" w:rsidRDefault="00796B4F" w:rsidP="00796B4F">
            <w:pPr>
              <w:pStyle w:val="ListParagraph"/>
              <w:rPr>
                <w:rFonts w:ascii="Arial" w:hAnsi="Arial" w:cs="Arial"/>
                <w:sz w:val="20"/>
                <w:szCs w:val="20"/>
              </w:rPr>
            </w:pPr>
          </w:p>
          <w:p w:rsidR="00796B4F" w:rsidRDefault="00796B4F" w:rsidP="00796B4F">
            <w:pPr>
              <w:pStyle w:val="ListParagraph"/>
              <w:numPr>
                <w:ilvl w:val="0"/>
                <w:numId w:val="7"/>
              </w:numPr>
              <w:autoSpaceDE w:val="0"/>
              <w:autoSpaceDN w:val="0"/>
              <w:adjustRightInd w:val="0"/>
              <w:rPr>
                <w:rFonts w:ascii="Arial" w:hAnsi="Arial" w:cs="Arial"/>
                <w:sz w:val="20"/>
                <w:szCs w:val="20"/>
              </w:rPr>
            </w:pPr>
            <w:r w:rsidRPr="00796B4F">
              <w:rPr>
                <w:rFonts w:ascii="Arial" w:hAnsi="Arial" w:cs="Arial"/>
                <w:sz w:val="20"/>
                <w:szCs w:val="20"/>
              </w:rPr>
              <w:t>Department has recently updated its Boarders and lodgers – a guide to your rights and responsibilities publication. The publication aims to help boarders and lodgers understand their rights and responsibilities under common law.</w:t>
            </w:r>
          </w:p>
          <w:p w:rsidR="00796B4F" w:rsidRPr="00796B4F" w:rsidRDefault="00796B4F" w:rsidP="00796B4F">
            <w:pPr>
              <w:pStyle w:val="ListParagraph"/>
              <w:rPr>
                <w:rFonts w:ascii="Arial" w:hAnsi="Arial" w:cs="Arial"/>
                <w:sz w:val="20"/>
                <w:szCs w:val="20"/>
              </w:rPr>
            </w:pPr>
          </w:p>
          <w:p w:rsidR="00542C5F" w:rsidRPr="00796B4F" w:rsidRDefault="00C12994" w:rsidP="00780A8A">
            <w:pPr>
              <w:pStyle w:val="ListParagraph"/>
              <w:numPr>
                <w:ilvl w:val="0"/>
                <w:numId w:val="7"/>
              </w:numPr>
              <w:autoSpaceDE w:val="0"/>
              <w:autoSpaceDN w:val="0"/>
              <w:adjustRightInd w:val="0"/>
              <w:spacing w:after="120"/>
              <w:rPr>
                <w:rFonts w:ascii="Arial" w:hAnsi="Arial" w:cs="Arial"/>
                <w:sz w:val="20"/>
                <w:szCs w:val="20"/>
              </w:rPr>
            </w:pPr>
            <w:r>
              <w:rPr>
                <w:rFonts w:ascii="Arial" w:hAnsi="Arial" w:cs="Arial"/>
                <w:sz w:val="20"/>
                <w:szCs w:val="20"/>
              </w:rPr>
              <w:t>Property M</w:t>
            </w:r>
            <w:r w:rsidR="00796B4F" w:rsidRPr="00796B4F">
              <w:rPr>
                <w:rFonts w:ascii="Arial" w:hAnsi="Arial" w:cs="Arial"/>
                <w:sz w:val="20"/>
                <w:szCs w:val="20"/>
              </w:rPr>
              <w:t>anagers who wish to upgrade to a full registration</w:t>
            </w:r>
            <w:r w:rsidR="00780A8A">
              <w:rPr>
                <w:rFonts w:ascii="Arial" w:hAnsi="Arial" w:cs="Arial"/>
                <w:sz w:val="20"/>
                <w:szCs w:val="20"/>
              </w:rPr>
              <w:t>,</w:t>
            </w:r>
            <w:r w:rsidR="00796B4F" w:rsidRPr="00796B4F">
              <w:rPr>
                <w:rFonts w:ascii="Arial" w:hAnsi="Arial" w:cs="Arial"/>
                <w:sz w:val="20"/>
                <w:szCs w:val="20"/>
              </w:rPr>
              <w:t xml:space="preserve"> but are subject to a condition </w:t>
            </w:r>
            <w:r w:rsidR="00780A8A">
              <w:rPr>
                <w:rFonts w:ascii="Arial" w:hAnsi="Arial" w:cs="Arial"/>
                <w:sz w:val="20"/>
                <w:szCs w:val="20"/>
              </w:rPr>
              <w:t xml:space="preserve">restricting the </w:t>
            </w:r>
            <w:r w:rsidR="00796B4F" w:rsidRPr="00796B4F">
              <w:rPr>
                <w:rFonts w:ascii="Arial" w:hAnsi="Arial" w:cs="Arial"/>
                <w:sz w:val="20"/>
                <w:szCs w:val="20"/>
              </w:rPr>
              <w:t>scope of their ac</w:t>
            </w:r>
            <w:r w:rsidR="00796B4F">
              <w:rPr>
                <w:rFonts w:ascii="Arial" w:hAnsi="Arial" w:cs="Arial"/>
                <w:sz w:val="20"/>
                <w:szCs w:val="20"/>
              </w:rPr>
              <w:t>tivities to property management</w:t>
            </w:r>
            <w:r w:rsidR="00780A8A">
              <w:rPr>
                <w:rFonts w:ascii="Arial" w:hAnsi="Arial" w:cs="Arial"/>
                <w:sz w:val="20"/>
                <w:szCs w:val="20"/>
              </w:rPr>
              <w:t>,</w:t>
            </w:r>
            <w:r w:rsidR="00796B4F">
              <w:rPr>
                <w:rFonts w:ascii="Arial" w:hAnsi="Arial" w:cs="Arial"/>
                <w:sz w:val="20"/>
                <w:szCs w:val="20"/>
              </w:rPr>
              <w:t xml:space="preserve"> </w:t>
            </w:r>
            <w:r w:rsidR="00796B4F" w:rsidRPr="00796B4F">
              <w:rPr>
                <w:rFonts w:ascii="Arial" w:hAnsi="Arial" w:cs="Arial"/>
                <w:sz w:val="20"/>
                <w:szCs w:val="20"/>
              </w:rPr>
              <w:t>do not need to submit a new application to the Department to have this condition removed.</w:t>
            </w:r>
            <w:r w:rsidR="00796B4F">
              <w:rPr>
                <w:rFonts w:ascii="Arial" w:hAnsi="Arial" w:cs="Arial"/>
                <w:sz w:val="20"/>
                <w:szCs w:val="20"/>
              </w:rPr>
              <w:t xml:space="preserve">  Th</w:t>
            </w:r>
            <w:r w:rsidR="00796B4F" w:rsidRPr="00796B4F">
              <w:rPr>
                <w:rFonts w:ascii="Arial" w:hAnsi="Arial" w:cs="Arial"/>
                <w:sz w:val="20"/>
                <w:szCs w:val="20"/>
              </w:rPr>
              <w:t xml:space="preserve">ey need to demonstrate that they meet the prescribed qualification requirements outlined in regulations 6A and 6B of the </w:t>
            </w:r>
            <w:r w:rsidR="00796B4F" w:rsidRPr="00796B4F">
              <w:rPr>
                <w:rFonts w:ascii="Arial" w:hAnsi="Arial" w:cs="Arial"/>
                <w:i/>
                <w:iCs/>
                <w:sz w:val="20"/>
                <w:szCs w:val="20"/>
              </w:rPr>
              <w:t xml:space="preserve">Real Estate </w:t>
            </w:r>
            <w:r w:rsidR="00780A8A">
              <w:rPr>
                <w:rFonts w:ascii="Arial" w:hAnsi="Arial" w:cs="Arial"/>
                <w:i/>
                <w:iCs/>
                <w:sz w:val="20"/>
                <w:szCs w:val="20"/>
              </w:rPr>
              <w:t xml:space="preserve">and Business Agents Regulations </w:t>
            </w:r>
            <w:r w:rsidR="00796B4F" w:rsidRPr="00796B4F">
              <w:rPr>
                <w:rFonts w:ascii="Arial" w:hAnsi="Arial" w:cs="Arial"/>
                <w:i/>
                <w:iCs/>
                <w:sz w:val="20"/>
                <w:szCs w:val="20"/>
              </w:rPr>
              <w:t>1979</w:t>
            </w:r>
            <w:r w:rsidR="00796B4F" w:rsidRPr="00796B4F">
              <w:rPr>
                <w:rFonts w:ascii="Arial" w:hAnsi="Arial" w:cs="Arial"/>
                <w:sz w:val="20"/>
                <w:szCs w:val="20"/>
              </w:rPr>
              <w:t>.</w:t>
            </w:r>
          </w:p>
        </w:tc>
      </w:tr>
    </w:tbl>
    <w:p w:rsidR="001A4813" w:rsidRDefault="001A4813" w:rsidP="003D5CAC">
      <w:pPr>
        <w:autoSpaceDE w:val="0"/>
        <w:autoSpaceDN w:val="0"/>
        <w:adjustRightInd w:val="0"/>
        <w:spacing w:after="0" w:line="240" w:lineRule="auto"/>
        <w:jc w:val="both"/>
        <w:rPr>
          <w:rFonts w:ascii="HelveticaNeueLTStd-Lt" w:hAnsi="HelveticaNeueLTStd-Lt" w:cs="HelveticaNeueLTStd-Lt"/>
          <w:sz w:val="19"/>
          <w:szCs w:val="19"/>
        </w:rPr>
      </w:pPr>
    </w:p>
    <w:p w:rsidR="001A4813" w:rsidRDefault="001A4813">
      <w:pPr>
        <w:rPr>
          <w:rFonts w:ascii="HelveticaNeueLTStd-Lt" w:hAnsi="HelveticaNeueLTStd-Lt" w:cs="HelveticaNeueLTStd-Lt"/>
          <w:sz w:val="19"/>
          <w:szCs w:val="19"/>
        </w:rPr>
      </w:pPr>
      <w:r>
        <w:rPr>
          <w:rFonts w:ascii="HelveticaNeueLTStd-Lt" w:hAnsi="HelveticaNeueLTStd-Lt" w:cs="HelveticaNeueLTStd-Lt"/>
          <w:sz w:val="19"/>
          <w:szCs w:val="19"/>
        </w:rPr>
        <w:br w:type="page"/>
      </w:r>
    </w:p>
    <w:p w:rsidR="00D9722D" w:rsidRPr="006E6EDC" w:rsidRDefault="00215C6B" w:rsidP="003D5CAC">
      <w:pPr>
        <w:autoSpaceDE w:val="0"/>
        <w:autoSpaceDN w:val="0"/>
        <w:adjustRightInd w:val="0"/>
        <w:spacing w:after="0" w:line="240" w:lineRule="auto"/>
        <w:jc w:val="both"/>
        <w:rPr>
          <w:rFonts w:ascii="HelveticaNeue-Medium" w:hAnsi="HelveticaNeue-Medium" w:cs="HelveticaNeue-Medium"/>
        </w:rPr>
      </w:pPr>
      <w:r w:rsidRPr="006E6EDC">
        <w:rPr>
          <w:rFonts w:ascii="HelveticaNeueLTStd-Lt" w:hAnsi="HelveticaNeueLTStd-Lt" w:cs="HelveticaNeueLTStd-Lt"/>
          <w:sz w:val="19"/>
          <w:szCs w:val="19"/>
        </w:rPr>
        <w:lastRenderedPageBreak/>
        <w:t>.</w:t>
      </w:r>
      <w:r w:rsidR="00C527DA" w:rsidRPr="006E6EDC">
        <w:rPr>
          <w:rFonts w:ascii="HelveticaNeue-Medium" w:hAnsi="HelveticaNeue-Medium" w:cs="HelveticaNeue-Medium"/>
        </w:rPr>
        <w:t xml:space="preserve"> </w:t>
      </w: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1A4813" w:rsidRPr="006E6EDC" w:rsidTr="00B801BE">
        <w:tc>
          <w:tcPr>
            <w:tcW w:w="1361" w:type="dxa"/>
            <w:shd w:val="clear" w:color="auto" w:fill="D9D9D9" w:themeFill="background1" w:themeFillShade="D9"/>
          </w:tcPr>
          <w:p w:rsidR="001A4813" w:rsidRPr="006E6EDC" w:rsidRDefault="001A4813" w:rsidP="00B801BE">
            <w:pPr>
              <w:spacing w:before="60" w:after="60"/>
              <w:rPr>
                <w:b/>
                <w:sz w:val="24"/>
                <w:szCs w:val="24"/>
              </w:rPr>
            </w:pPr>
            <w:r w:rsidRPr="006E6EDC">
              <w:rPr>
                <w:b/>
                <w:sz w:val="24"/>
                <w:szCs w:val="24"/>
              </w:rPr>
              <w:t>DATE / NO.</w:t>
            </w:r>
          </w:p>
        </w:tc>
        <w:tc>
          <w:tcPr>
            <w:tcW w:w="3792" w:type="dxa"/>
            <w:shd w:val="clear" w:color="auto" w:fill="D9D9D9" w:themeFill="background1" w:themeFillShade="D9"/>
          </w:tcPr>
          <w:p w:rsidR="001A4813" w:rsidRPr="006E6EDC" w:rsidRDefault="001A4813" w:rsidP="00B801BE">
            <w:pPr>
              <w:spacing w:before="60" w:after="60"/>
              <w:rPr>
                <w:b/>
                <w:sz w:val="24"/>
                <w:szCs w:val="24"/>
              </w:rPr>
            </w:pPr>
            <w:r w:rsidRPr="006E6EDC">
              <w:rPr>
                <w:b/>
                <w:sz w:val="24"/>
                <w:szCs w:val="24"/>
              </w:rPr>
              <w:t xml:space="preserve">ISSUE / TITLE </w:t>
            </w:r>
          </w:p>
        </w:tc>
        <w:tc>
          <w:tcPr>
            <w:tcW w:w="9824" w:type="dxa"/>
            <w:shd w:val="clear" w:color="auto" w:fill="D9D9D9" w:themeFill="background1" w:themeFillShade="D9"/>
          </w:tcPr>
          <w:p w:rsidR="001A4813" w:rsidRPr="006E6EDC" w:rsidRDefault="001A4813" w:rsidP="00B801BE">
            <w:pPr>
              <w:spacing w:before="60" w:after="60"/>
              <w:rPr>
                <w:b/>
                <w:sz w:val="24"/>
                <w:szCs w:val="24"/>
              </w:rPr>
            </w:pPr>
            <w:r w:rsidRPr="006E6EDC">
              <w:rPr>
                <w:b/>
                <w:sz w:val="24"/>
                <w:szCs w:val="24"/>
              </w:rPr>
              <w:t>CONTENT SUMMARY</w:t>
            </w:r>
          </w:p>
        </w:tc>
      </w:tr>
      <w:tr w:rsidR="001A4813" w:rsidRPr="006E6EDC" w:rsidTr="00B801BE">
        <w:tc>
          <w:tcPr>
            <w:tcW w:w="1361" w:type="dxa"/>
          </w:tcPr>
          <w:p w:rsidR="001A4813" w:rsidRPr="006E6EDC" w:rsidRDefault="001A4813" w:rsidP="00B801BE">
            <w:pPr>
              <w:spacing w:before="120"/>
              <w:rPr>
                <w:rFonts w:ascii="Arial" w:hAnsi="Arial" w:cs="Arial"/>
                <w:sz w:val="20"/>
                <w:szCs w:val="20"/>
              </w:rPr>
            </w:pPr>
            <w:r w:rsidRPr="006E6EDC">
              <w:rPr>
                <w:rFonts w:ascii="Arial" w:hAnsi="Arial" w:cs="Arial"/>
                <w:sz w:val="20"/>
                <w:szCs w:val="20"/>
              </w:rPr>
              <w:br w:type="page"/>
            </w:r>
            <w:r w:rsidRPr="006E6EDC">
              <w:rPr>
                <w:rFonts w:ascii="Arial" w:hAnsi="Arial" w:cs="Arial"/>
                <w:b/>
                <w:bCs/>
                <w:sz w:val="20"/>
                <w:szCs w:val="20"/>
              </w:rPr>
              <w:t>Summer / December 2013</w:t>
            </w:r>
          </w:p>
          <w:p w:rsidR="001A4813" w:rsidRPr="006E6EDC" w:rsidRDefault="001A4813" w:rsidP="00B801BE">
            <w:pPr>
              <w:spacing w:before="120"/>
              <w:jc w:val="both"/>
              <w:rPr>
                <w:rFonts w:ascii="Arial" w:hAnsi="Arial" w:cs="Arial"/>
                <w:sz w:val="20"/>
                <w:szCs w:val="20"/>
              </w:rPr>
            </w:pPr>
            <w:r w:rsidRPr="006E6EDC">
              <w:rPr>
                <w:rFonts w:ascii="Arial" w:hAnsi="Arial" w:cs="Arial"/>
                <w:b/>
                <w:bCs/>
                <w:sz w:val="20"/>
                <w:szCs w:val="20"/>
              </w:rPr>
              <w:t>No. 8</w:t>
            </w:r>
          </w:p>
        </w:tc>
        <w:tc>
          <w:tcPr>
            <w:tcW w:w="3792" w:type="dxa"/>
          </w:tcPr>
          <w:p w:rsidR="001A4813" w:rsidRPr="006E6EDC" w:rsidRDefault="001A4813" w:rsidP="001A4813">
            <w:pPr>
              <w:pStyle w:val="ListParagraph"/>
              <w:numPr>
                <w:ilvl w:val="0"/>
                <w:numId w:val="18"/>
              </w:numPr>
              <w:tabs>
                <w:tab w:val="right" w:pos="2540"/>
              </w:tabs>
              <w:spacing w:before="120" w:after="60"/>
              <w:ind w:left="340" w:right="-16"/>
              <w:jc w:val="both"/>
              <w:rPr>
                <w:rFonts w:ascii="Arial" w:hAnsi="Arial" w:cs="Arial"/>
                <w:b/>
                <w:sz w:val="20"/>
                <w:szCs w:val="20"/>
              </w:rPr>
            </w:pPr>
            <w:r w:rsidRPr="006E6EDC">
              <w:rPr>
                <w:rFonts w:ascii="Arial" w:hAnsi="Arial" w:cs="Arial"/>
                <w:b/>
                <w:sz w:val="20"/>
                <w:szCs w:val="20"/>
              </w:rPr>
              <w:t>Misrepresentation of advertised Properties</w:t>
            </w:r>
          </w:p>
          <w:p w:rsidR="001A4813" w:rsidRPr="006E6EDC" w:rsidRDefault="001A4813" w:rsidP="001A4813">
            <w:pPr>
              <w:tabs>
                <w:tab w:val="right" w:pos="2540"/>
              </w:tabs>
              <w:ind w:left="340" w:right="-16"/>
              <w:jc w:val="both"/>
              <w:rPr>
                <w:rFonts w:ascii="Arial" w:hAnsi="Arial" w:cs="Arial"/>
                <w:b/>
                <w:sz w:val="20"/>
                <w:szCs w:val="20"/>
              </w:rPr>
            </w:pPr>
          </w:p>
          <w:p w:rsidR="001A4813" w:rsidRPr="006E6EDC" w:rsidRDefault="001A4813" w:rsidP="001A4813">
            <w:pPr>
              <w:pStyle w:val="ListParagraph"/>
              <w:numPr>
                <w:ilvl w:val="0"/>
                <w:numId w:val="18"/>
              </w:numPr>
              <w:tabs>
                <w:tab w:val="right" w:pos="2540"/>
              </w:tabs>
              <w:ind w:left="340" w:right="-16"/>
              <w:jc w:val="both"/>
              <w:rPr>
                <w:rFonts w:ascii="Arial" w:hAnsi="Arial" w:cs="Arial"/>
                <w:b/>
                <w:sz w:val="20"/>
                <w:szCs w:val="20"/>
              </w:rPr>
            </w:pPr>
            <w:r w:rsidRPr="006E6EDC">
              <w:rPr>
                <w:rFonts w:ascii="Arial" w:hAnsi="Arial" w:cs="Arial"/>
                <w:b/>
                <w:sz w:val="20"/>
                <w:szCs w:val="20"/>
              </w:rPr>
              <w:t>Landgate</w:t>
            </w:r>
          </w:p>
          <w:p w:rsidR="001A4813" w:rsidRPr="006E6EDC" w:rsidRDefault="001A4813" w:rsidP="001A4813">
            <w:pPr>
              <w:tabs>
                <w:tab w:val="right" w:pos="2540"/>
              </w:tabs>
              <w:ind w:left="340" w:right="-16"/>
              <w:jc w:val="both"/>
              <w:rPr>
                <w:rFonts w:ascii="Arial" w:hAnsi="Arial" w:cs="Arial"/>
                <w:b/>
                <w:sz w:val="20"/>
                <w:szCs w:val="20"/>
              </w:rPr>
            </w:pPr>
          </w:p>
          <w:p w:rsidR="001A4813" w:rsidRPr="006E6EDC" w:rsidRDefault="001A4813" w:rsidP="001A4813">
            <w:pPr>
              <w:pStyle w:val="ListParagraph"/>
              <w:numPr>
                <w:ilvl w:val="0"/>
                <w:numId w:val="18"/>
              </w:numPr>
              <w:tabs>
                <w:tab w:val="right" w:pos="2540"/>
              </w:tabs>
              <w:ind w:left="340" w:right="-16"/>
              <w:jc w:val="both"/>
              <w:rPr>
                <w:rFonts w:ascii="Arial" w:hAnsi="Arial" w:cs="Arial"/>
                <w:b/>
                <w:sz w:val="20"/>
                <w:szCs w:val="20"/>
              </w:rPr>
            </w:pPr>
            <w:r w:rsidRPr="006E6EDC">
              <w:rPr>
                <w:rFonts w:ascii="Arial" w:hAnsi="Arial" w:cs="Arial"/>
                <w:b/>
                <w:sz w:val="20"/>
                <w:szCs w:val="20"/>
              </w:rPr>
              <w:t>Real estate agency fined for misleading buyer</w:t>
            </w:r>
          </w:p>
          <w:p w:rsidR="001A4813" w:rsidRPr="006E6EDC" w:rsidRDefault="001A4813" w:rsidP="001A4813">
            <w:pPr>
              <w:pStyle w:val="ListParagraph"/>
              <w:tabs>
                <w:tab w:val="right" w:pos="2540"/>
              </w:tabs>
              <w:ind w:left="340" w:right="-16"/>
              <w:jc w:val="both"/>
              <w:rPr>
                <w:rFonts w:ascii="Arial" w:hAnsi="Arial" w:cs="Arial"/>
                <w:b/>
                <w:sz w:val="20"/>
                <w:szCs w:val="20"/>
              </w:rPr>
            </w:pPr>
          </w:p>
          <w:p w:rsidR="001A4813" w:rsidRPr="006E6EDC" w:rsidRDefault="001A4813" w:rsidP="001A4813">
            <w:pPr>
              <w:pStyle w:val="ListParagraph"/>
              <w:numPr>
                <w:ilvl w:val="0"/>
                <w:numId w:val="18"/>
              </w:numPr>
              <w:tabs>
                <w:tab w:val="right" w:pos="2540"/>
              </w:tabs>
              <w:ind w:left="340" w:right="-16"/>
              <w:jc w:val="both"/>
              <w:rPr>
                <w:rFonts w:ascii="Arial" w:hAnsi="Arial" w:cs="Arial"/>
                <w:b/>
                <w:sz w:val="20"/>
                <w:szCs w:val="20"/>
              </w:rPr>
            </w:pPr>
            <w:r w:rsidRPr="006E6EDC">
              <w:rPr>
                <w:rFonts w:ascii="Arial" w:hAnsi="Arial" w:cs="Arial"/>
                <w:b/>
                <w:sz w:val="20"/>
                <w:szCs w:val="20"/>
              </w:rPr>
              <w:t>Property investment promoter</w:t>
            </w:r>
          </w:p>
          <w:p w:rsidR="001A4813" w:rsidRPr="006E6EDC" w:rsidRDefault="001A4813" w:rsidP="001A4813">
            <w:pPr>
              <w:pStyle w:val="ListParagraph"/>
              <w:numPr>
                <w:ilvl w:val="0"/>
                <w:numId w:val="18"/>
              </w:numPr>
              <w:tabs>
                <w:tab w:val="right" w:pos="2540"/>
              </w:tabs>
              <w:ind w:left="340" w:right="-16"/>
              <w:jc w:val="both"/>
              <w:rPr>
                <w:rFonts w:ascii="Arial" w:hAnsi="Arial" w:cs="Arial"/>
                <w:b/>
                <w:sz w:val="20"/>
                <w:szCs w:val="20"/>
              </w:rPr>
            </w:pPr>
            <w:r w:rsidRPr="006E6EDC">
              <w:rPr>
                <w:rFonts w:ascii="Arial" w:hAnsi="Arial" w:cs="Arial"/>
                <w:b/>
                <w:sz w:val="20"/>
                <w:szCs w:val="20"/>
              </w:rPr>
              <w:t>agrees to cease seminars</w:t>
            </w:r>
          </w:p>
          <w:p w:rsidR="001A4813" w:rsidRPr="006E6EDC" w:rsidRDefault="001A4813" w:rsidP="001A4813">
            <w:pPr>
              <w:tabs>
                <w:tab w:val="right" w:pos="2540"/>
              </w:tabs>
              <w:ind w:left="340" w:right="-16"/>
              <w:jc w:val="both"/>
              <w:rPr>
                <w:rFonts w:ascii="Arial" w:hAnsi="Arial" w:cs="Arial"/>
                <w:b/>
                <w:sz w:val="20"/>
                <w:szCs w:val="20"/>
              </w:rPr>
            </w:pPr>
          </w:p>
          <w:p w:rsidR="001A4813" w:rsidRPr="006E6EDC" w:rsidRDefault="001A4813" w:rsidP="001A4813">
            <w:pPr>
              <w:pStyle w:val="ListParagraph"/>
              <w:numPr>
                <w:ilvl w:val="0"/>
                <w:numId w:val="18"/>
              </w:numPr>
              <w:tabs>
                <w:tab w:val="right" w:pos="2540"/>
              </w:tabs>
              <w:ind w:left="340" w:right="-16"/>
              <w:jc w:val="both"/>
              <w:rPr>
                <w:rFonts w:ascii="Arial" w:hAnsi="Arial" w:cs="Arial"/>
                <w:b/>
                <w:sz w:val="20"/>
                <w:szCs w:val="20"/>
              </w:rPr>
            </w:pPr>
            <w:r w:rsidRPr="006E6EDC">
              <w:rPr>
                <w:rFonts w:ascii="Arial" w:hAnsi="Arial" w:cs="Arial"/>
                <w:b/>
                <w:sz w:val="20"/>
                <w:szCs w:val="20"/>
              </w:rPr>
              <w:t xml:space="preserve">Recognition of prior learning </w:t>
            </w:r>
          </w:p>
          <w:p w:rsidR="001A4813" w:rsidRPr="006E6EDC" w:rsidRDefault="001A4813" w:rsidP="001A4813">
            <w:pPr>
              <w:tabs>
                <w:tab w:val="right" w:pos="2540"/>
              </w:tabs>
              <w:ind w:left="340" w:right="-16"/>
              <w:jc w:val="both"/>
              <w:rPr>
                <w:rFonts w:ascii="Arial" w:hAnsi="Arial" w:cs="Arial"/>
                <w:b/>
                <w:sz w:val="20"/>
                <w:szCs w:val="20"/>
              </w:rPr>
            </w:pPr>
          </w:p>
          <w:p w:rsidR="001A4813" w:rsidRPr="006E6EDC" w:rsidRDefault="001A4813" w:rsidP="001A4813">
            <w:pPr>
              <w:pStyle w:val="ListParagraph"/>
              <w:numPr>
                <w:ilvl w:val="0"/>
                <w:numId w:val="18"/>
              </w:numPr>
              <w:tabs>
                <w:tab w:val="right" w:pos="2540"/>
              </w:tabs>
              <w:ind w:left="340" w:right="-16"/>
              <w:jc w:val="both"/>
              <w:rPr>
                <w:rFonts w:ascii="Arial" w:hAnsi="Arial" w:cs="Arial"/>
                <w:b/>
                <w:sz w:val="20"/>
                <w:szCs w:val="20"/>
              </w:rPr>
            </w:pPr>
            <w:r w:rsidRPr="006E6EDC">
              <w:rPr>
                <w:rFonts w:ascii="Arial" w:hAnsi="Arial" w:cs="Arial"/>
                <w:b/>
                <w:sz w:val="20"/>
                <w:szCs w:val="20"/>
              </w:rPr>
              <w:t>Storm damage to rental properties</w:t>
            </w:r>
          </w:p>
          <w:p w:rsidR="001A4813" w:rsidRPr="006E6EDC" w:rsidRDefault="001A4813" w:rsidP="001A4813">
            <w:pPr>
              <w:pStyle w:val="ListParagraph"/>
              <w:ind w:left="340"/>
              <w:rPr>
                <w:rFonts w:ascii="Arial" w:hAnsi="Arial" w:cs="Arial"/>
                <w:b/>
                <w:sz w:val="20"/>
                <w:szCs w:val="20"/>
              </w:rPr>
            </w:pPr>
          </w:p>
          <w:p w:rsidR="001A4813" w:rsidRPr="006E6EDC" w:rsidRDefault="001A4813" w:rsidP="001A4813">
            <w:pPr>
              <w:pStyle w:val="ListParagraph"/>
              <w:numPr>
                <w:ilvl w:val="0"/>
                <w:numId w:val="18"/>
              </w:numPr>
              <w:tabs>
                <w:tab w:val="right" w:pos="2540"/>
              </w:tabs>
              <w:ind w:left="340" w:right="-16"/>
              <w:jc w:val="both"/>
              <w:rPr>
                <w:rFonts w:ascii="Arial" w:hAnsi="Arial" w:cs="Arial"/>
                <w:b/>
                <w:sz w:val="20"/>
                <w:szCs w:val="20"/>
              </w:rPr>
            </w:pPr>
            <w:r w:rsidRPr="006E6EDC">
              <w:rPr>
                <w:rFonts w:ascii="Arial" w:hAnsi="Arial" w:cs="Arial"/>
                <w:b/>
                <w:sz w:val="20"/>
                <w:szCs w:val="20"/>
              </w:rPr>
              <w:t>Court rejects Westpoint Director’s second appeal</w:t>
            </w:r>
          </w:p>
          <w:p w:rsidR="001A4813" w:rsidRPr="006E6EDC" w:rsidRDefault="001A4813" w:rsidP="001A4813">
            <w:pPr>
              <w:pStyle w:val="ListParagraph"/>
              <w:tabs>
                <w:tab w:val="right" w:pos="2540"/>
              </w:tabs>
              <w:ind w:left="340" w:right="-16"/>
              <w:jc w:val="both"/>
              <w:rPr>
                <w:rFonts w:ascii="Arial" w:hAnsi="Arial" w:cs="Arial"/>
                <w:b/>
                <w:sz w:val="20"/>
                <w:szCs w:val="20"/>
              </w:rPr>
            </w:pPr>
          </w:p>
          <w:p w:rsidR="001A4813" w:rsidRPr="006E6EDC" w:rsidRDefault="001A4813" w:rsidP="001A4813">
            <w:pPr>
              <w:pStyle w:val="ListParagraph"/>
              <w:numPr>
                <w:ilvl w:val="0"/>
                <w:numId w:val="18"/>
              </w:numPr>
              <w:tabs>
                <w:tab w:val="right" w:pos="2540"/>
              </w:tabs>
              <w:ind w:left="340" w:right="-16"/>
              <w:jc w:val="both"/>
              <w:rPr>
                <w:rFonts w:ascii="Arial" w:hAnsi="Arial" w:cs="Arial"/>
                <w:b/>
                <w:sz w:val="20"/>
                <w:szCs w:val="20"/>
              </w:rPr>
            </w:pPr>
            <w:r w:rsidRPr="006E6EDC">
              <w:rPr>
                <w:rFonts w:ascii="Arial" w:hAnsi="Arial" w:cs="Arial"/>
                <w:b/>
                <w:sz w:val="20"/>
                <w:szCs w:val="20"/>
              </w:rPr>
              <w:t>Changes to real estate licensing forms</w:t>
            </w:r>
          </w:p>
          <w:p w:rsidR="001A4813" w:rsidRPr="006E6EDC" w:rsidRDefault="001A4813" w:rsidP="001A4813">
            <w:pPr>
              <w:tabs>
                <w:tab w:val="right" w:pos="2540"/>
              </w:tabs>
              <w:ind w:left="340" w:right="-16"/>
              <w:jc w:val="both"/>
              <w:rPr>
                <w:rFonts w:ascii="Arial" w:hAnsi="Arial" w:cs="Arial"/>
                <w:b/>
                <w:sz w:val="20"/>
                <w:szCs w:val="20"/>
              </w:rPr>
            </w:pPr>
          </w:p>
          <w:p w:rsidR="001A4813" w:rsidRPr="006E6EDC" w:rsidRDefault="001A4813" w:rsidP="001A4813">
            <w:pPr>
              <w:pStyle w:val="ListParagraph"/>
              <w:numPr>
                <w:ilvl w:val="0"/>
                <w:numId w:val="18"/>
              </w:numPr>
              <w:tabs>
                <w:tab w:val="right" w:pos="2540"/>
              </w:tabs>
              <w:ind w:left="340" w:right="-16"/>
              <w:jc w:val="both"/>
              <w:rPr>
                <w:rFonts w:ascii="Arial" w:hAnsi="Arial" w:cs="Arial"/>
                <w:b/>
                <w:sz w:val="20"/>
                <w:szCs w:val="20"/>
              </w:rPr>
            </w:pPr>
            <w:r w:rsidRPr="006E6EDC">
              <w:rPr>
                <w:rFonts w:ascii="Arial" w:hAnsi="Arial" w:cs="Arial"/>
                <w:b/>
                <w:sz w:val="20"/>
                <w:szCs w:val="20"/>
              </w:rPr>
              <w:t>ASIC’s small business booklet</w:t>
            </w:r>
          </w:p>
          <w:p w:rsidR="001A4813" w:rsidRPr="006E6EDC" w:rsidRDefault="001A4813" w:rsidP="00B801BE">
            <w:pPr>
              <w:tabs>
                <w:tab w:val="right" w:pos="2540"/>
              </w:tabs>
              <w:ind w:left="360" w:right="-16"/>
              <w:jc w:val="both"/>
              <w:rPr>
                <w:rFonts w:ascii="Arial" w:hAnsi="Arial" w:cs="Arial"/>
                <w:b/>
                <w:sz w:val="20"/>
                <w:szCs w:val="20"/>
              </w:rPr>
            </w:pPr>
          </w:p>
          <w:p w:rsidR="001A4813" w:rsidRPr="006E6EDC" w:rsidRDefault="001A4813" w:rsidP="00B801BE">
            <w:pPr>
              <w:tabs>
                <w:tab w:val="right" w:pos="2540"/>
              </w:tabs>
              <w:ind w:right="-16"/>
              <w:jc w:val="both"/>
              <w:rPr>
                <w:rFonts w:ascii="Arial" w:hAnsi="Arial" w:cs="Arial"/>
                <w:sz w:val="20"/>
                <w:szCs w:val="20"/>
              </w:rPr>
            </w:pPr>
          </w:p>
        </w:tc>
        <w:tc>
          <w:tcPr>
            <w:tcW w:w="9824" w:type="dxa"/>
          </w:tcPr>
          <w:p w:rsidR="001A4813" w:rsidRPr="001A4813" w:rsidRDefault="001A4813" w:rsidP="001A4813">
            <w:pPr>
              <w:pStyle w:val="ListParagraph"/>
              <w:numPr>
                <w:ilvl w:val="0"/>
                <w:numId w:val="19"/>
              </w:numPr>
              <w:spacing w:before="120"/>
              <w:ind w:left="376"/>
              <w:jc w:val="both"/>
              <w:rPr>
                <w:rFonts w:ascii="Arial" w:hAnsi="Arial" w:cs="Arial"/>
                <w:sz w:val="20"/>
                <w:szCs w:val="20"/>
              </w:rPr>
            </w:pPr>
            <w:r w:rsidRPr="001A4813">
              <w:rPr>
                <w:rFonts w:ascii="Arial" w:hAnsi="Arial" w:cs="Arial"/>
                <w:sz w:val="20"/>
                <w:szCs w:val="20"/>
              </w:rPr>
              <w:t xml:space="preserve">Department has received several complaints about real estate agencies advertising residential properties as being ‘under offer’ or ‘under contract’ months after they have been sold. </w:t>
            </w:r>
          </w:p>
          <w:p w:rsidR="001A4813" w:rsidRPr="006E6EDC" w:rsidRDefault="001A4813" w:rsidP="001A4813">
            <w:pPr>
              <w:ind w:left="376"/>
              <w:jc w:val="both"/>
              <w:rPr>
                <w:rFonts w:ascii="Arial" w:hAnsi="Arial" w:cs="Arial"/>
                <w:sz w:val="20"/>
                <w:szCs w:val="20"/>
              </w:rPr>
            </w:pPr>
          </w:p>
          <w:p w:rsidR="001A4813" w:rsidRPr="001A4813" w:rsidRDefault="001A4813" w:rsidP="001A4813">
            <w:pPr>
              <w:pStyle w:val="ListParagraph"/>
              <w:numPr>
                <w:ilvl w:val="0"/>
                <w:numId w:val="19"/>
              </w:numPr>
              <w:spacing w:before="60" w:after="60"/>
              <w:ind w:left="376"/>
              <w:jc w:val="both"/>
              <w:rPr>
                <w:rFonts w:ascii="Arial" w:hAnsi="Arial" w:cs="Arial"/>
                <w:sz w:val="20"/>
                <w:szCs w:val="20"/>
              </w:rPr>
            </w:pPr>
            <w:r w:rsidRPr="001A4813">
              <w:rPr>
                <w:rFonts w:ascii="Arial" w:hAnsi="Arial" w:cs="Arial"/>
                <w:sz w:val="20"/>
                <w:szCs w:val="20"/>
              </w:rPr>
              <w:t>The PI report was launched by Landgate on 1</w:t>
            </w:r>
            <w:r w:rsidR="009F44B9">
              <w:rPr>
                <w:rFonts w:ascii="Arial" w:hAnsi="Arial" w:cs="Arial"/>
                <w:sz w:val="20"/>
                <w:szCs w:val="20"/>
              </w:rPr>
              <w:t xml:space="preserve"> November </w:t>
            </w:r>
            <w:r w:rsidRPr="001A4813">
              <w:rPr>
                <w:rFonts w:ascii="Arial" w:hAnsi="Arial" w:cs="Arial"/>
                <w:sz w:val="20"/>
                <w:szCs w:val="20"/>
              </w:rPr>
              <w:t>2013.  It replaced the current summary and detailed interest reports.  PI reports are available for purchase online for $54.95.  Landgate has written to all agents and provided brochures on the PI report that can be given to clients. Additional copies of the brochure are available from Landgate.  CPD will also cover this topic in 2014.</w:t>
            </w:r>
          </w:p>
          <w:p w:rsidR="001A4813" w:rsidRPr="006E6EDC" w:rsidRDefault="001A4813" w:rsidP="001A4813">
            <w:pPr>
              <w:pStyle w:val="ListParagraph"/>
              <w:ind w:left="376"/>
              <w:rPr>
                <w:rFonts w:ascii="Arial" w:hAnsi="Arial" w:cs="Arial"/>
                <w:sz w:val="20"/>
                <w:szCs w:val="20"/>
              </w:rPr>
            </w:pPr>
          </w:p>
          <w:p w:rsidR="001A4813" w:rsidRPr="001A4813" w:rsidRDefault="001A4813" w:rsidP="001A4813">
            <w:pPr>
              <w:pStyle w:val="ListParagraph"/>
              <w:numPr>
                <w:ilvl w:val="0"/>
                <w:numId w:val="19"/>
              </w:numPr>
              <w:autoSpaceDE w:val="0"/>
              <w:autoSpaceDN w:val="0"/>
              <w:adjustRightInd w:val="0"/>
              <w:ind w:left="376"/>
              <w:jc w:val="both"/>
              <w:rPr>
                <w:rFonts w:ascii="Arial" w:hAnsi="Arial" w:cs="Arial"/>
                <w:sz w:val="20"/>
                <w:szCs w:val="20"/>
              </w:rPr>
            </w:pPr>
            <w:r w:rsidRPr="001A4813">
              <w:rPr>
                <w:rFonts w:ascii="Arial" w:hAnsi="Arial" w:cs="Arial"/>
                <w:sz w:val="20"/>
                <w:szCs w:val="20"/>
              </w:rPr>
              <w:t>Wilson real estate agency, the agency licensee and a sales representative have been fined a total of $11,500 for misleading a buyer during a property transaction.  Stoneform Enterprises Pty Ltd, trading as Minic Property Group, was fined $5,000 by the SAT on 14 August 2013. Agency licensee Sabrina Lynn Minic was also fined $5,000 and sales representative Michael Lee Minic was fined $1,500.  The agency was ordered to pay costs of $2,000. The final orders by the SAT followed a negotiated settlement of the case.</w:t>
            </w:r>
          </w:p>
          <w:p w:rsidR="001A4813" w:rsidRPr="006E6EDC" w:rsidRDefault="001A4813" w:rsidP="001A4813">
            <w:pPr>
              <w:pStyle w:val="ListParagraph"/>
              <w:ind w:left="376"/>
              <w:rPr>
                <w:rFonts w:ascii="Arial" w:hAnsi="Arial" w:cs="Arial"/>
                <w:sz w:val="20"/>
                <w:szCs w:val="20"/>
              </w:rPr>
            </w:pPr>
          </w:p>
          <w:p w:rsidR="001A4813" w:rsidRPr="001A4813" w:rsidRDefault="001A4813" w:rsidP="001A4813">
            <w:pPr>
              <w:pStyle w:val="ListParagraph"/>
              <w:numPr>
                <w:ilvl w:val="0"/>
                <w:numId w:val="19"/>
              </w:numPr>
              <w:spacing w:before="60" w:after="60"/>
              <w:ind w:left="376"/>
              <w:jc w:val="both"/>
              <w:rPr>
                <w:rFonts w:ascii="Arial" w:hAnsi="Arial" w:cs="Arial"/>
                <w:sz w:val="20"/>
                <w:szCs w:val="20"/>
              </w:rPr>
            </w:pPr>
            <w:r w:rsidRPr="001A4813">
              <w:rPr>
                <w:rFonts w:ascii="Arial" w:hAnsi="Arial" w:cs="Arial"/>
                <w:sz w:val="20"/>
                <w:szCs w:val="20"/>
              </w:rPr>
              <w:t>Sydney-based property investment promoter has voluntarily agreed to forego promoting his rent-to-buy scheme to WA consumers for two years, to clarify what Consumer Protection believes is misleading advertising and to clarify statements made on various websites.</w:t>
            </w:r>
          </w:p>
          <w:p w:rsidR="001A4813" w:rsidRPr="006E6EDC" w:rsidRDefault="001A4813" w:rsidP="001A4813">
            <w:pPr>
              <w:pStyle w:val="ListParagraph"/>
              <w:ind w:left="376"/>
              <w:rPr>
                <w:rFonts w:ascii="Arial" w:hAnsi="Arial" w:cs="Arial"/>
                <w:sz w:val="20"/>
                <w:szCs w:val="20"/>
              </w:rPr>
            </w:pPr>
          </w:p>
          <w:p w:rsidR="001A4813" w:rsidRPr="001A4813" w:rsidRDefault="001A4813" w:rsidP="001A4813">
            <w:pPr>
              <w:pStyle w:val="ListParagraph"/>
              <w:numPr>
                <w:ilvl w:val="0"/>
                <w:numId w:val="19"/>
              </w:numPr>
              <w:spacing w:before="60" w:after="60"/>
              <w:ind w:left="376"/>
              <w:jc w:val="both"/>
              <w:rPr>
                <w:rFonts w:ascii="Arial" w:hAnsi="Arial" w:cs="Arial"/>
                <w:sz w:val="20"/>
                <w:szCs w:val="20"/>
              </w:rPr>
            </w:pPr>
            <w:r w:rsidRPr="001A4813">
              <w:rPr>
                <w:rFonts w:ascii="Arial" w:hAnsi="Arial" w:cs="Arial"/>
                <w:sz w:val="20"/>
                <w:szCs w:val="20"/>
              </w:rPr>
              <w:t xml:space="preserve">Department occasionally receives enquiries from people seeking information about the process of obtaining recognition of prior learning (RPL).  Generally, these people already have a formal qualification which may be similar to one of the qualifications prescribed for licensing purposes.  Commonly, applicants submit a qualification that is more than 12 months old, which is beyond the acceptable validity period prescribed under the regulations.  Department of Training and Workforce Development describes RPL as the acknowledgment of skills and knowledge obtained through: formal training or study including courses at school, college, adult education and training programs at work; work experience including paid and volunteer work; or life experience including skills </w:t>
            </w:r>
            <w:r w:rsidRPr="001A4813">
              <w:rPr>
                <w:rFonts w:ascii="HelveticaNeueLTStd-Lt" w:hAnsi="HelveticaNeueLTStd-Lt" w:cs="HelveticaNeueLTStd-Lt"/>
                <w:sz w:val="19"/>
                <w:szCs w:val="19"/>
              </w:rPr>
              <w:t>attained through leisure pursuits such as musical, mechanical or linguistic abilities.</w:t>
            </w:r>
          </w:p>
          <w:p w:rsidR="001A4813" w:rsidRPr="006E6EDC" w:rsidRDefault="001A4813" w:rsidP="001A4813">
            <w:pPr>
              <w:pStyle w:val="ListParagraph"/>
              <w:ind w:left="376"/>
              <w:rPr>
                <w:rFonts w:ascii="Arial" w:hAnsi="Arial" w:cs="Arial"/>
                <w:sz w:val="20"/>
                <w:szCs w:val="20"/>
              </w:rPr>
            </w:pPr>
          </w:p>
          <w:p w:rsidR="001A4813" w:rsidRPr="001A4813" w:rsidRDefault="001A4813" w:rsidP="001A4813">
            <w:pPr>
              <w:pStyle w:val="ListParagraph"/>
              <w:numPr>
                <w:ilvl w:val="0"/>
                <w:numId w:val="19"/>
              </w:numPr>
              <w:spacing w:before="60" w:after="60"/>
              <w:ind w:left="376"/>
              <w:jc w:val="both"/>
              <w:rPr>
                <w:rFonts w:ascii="Arial" w:hAnsi="Arial" w:cs="Arial"/>
                <w:sz w:val="20"/>
                <w:szCs w:val="20"/>
              </w:rPr>
            </w:pPr>
            <w:r w:rsidRPr="001A4813">
              <w:rPr>
                <w:rFonts w:ascii="Arial" w:hAnsi="Arial" w:cs="Arial"/>
                <w:sz w:val="20"/>
                <w:szCs w:val="20"/>
              </w:rPr>
              <w:t>With extreme weather patterns becoming more common, it is timely to revisit how to deal with a tenancy when a rental property is wholly or partially destroyed and rendered uninhabitable.</w:t>
            </w:r>
          </w:p>
          <w:p w:rsidR="001A4813" w:rsidRPr="006E6EDC" w:rsidRDefault="001A4813" w:rsidP="001A4813">
            <w:pPr>
              <w:pStyle w:val="ListParagraph"/>
              <w:spacing w:before="60" w:after="60"/>
              <w:ind w:left="376"/>
              <w:jc w:val="both"/>
              <w:rPr>
                <w:rFonts w:ascii="Arial" w:hAnsi="Arial" w:cs="Arial"/>
                <w:sz w:val="20"/>
                <w:szCs w:val="20"/>
              </w:rPr>
            </w:pPr>
          </w:p>
          <w:p w:rsidR="001A4813" w:rsidRPr="001A4813" w:rsidRDefault="001A4813" w:rsidP="001A4813">
            <w:pPr>
              <w:pStyle w:val="ListParagraph"/>
              <w:numPr>
                <w:ilvl w:val="0"/>
                <w:numId w:val="19"/>
              </w:numPr>
              <w:autoSpaceDE w:val="0"/>
              <w:autoSpaceDN w:val="0"/>
              <w:adjustRightInd w:val="0"/>
              <w:ind w:left="376"/>
              <w:jc w:val="both"/>
              <w:rPr>
                <w:rFonts w:ascii="Arial" w:hAnsi="Arial" w:cs="Arial"/>
                <w:sz w:val="20"/>
                <w:szCs w:val="20"/>
              </w:rPr>
            </w:pPr>
            <w:r w:rsidRPr="001A4813">
              <w:rPr>
                <w:rFonts w:ascii="Arial" w:hAnsi="Arial" w:cs="Arial"/>
                <w:sz w:val="20"/>
                <w:szCs w:val="20"/>
              </w:rPr>
              <w:t xml:space="preserve">Court of Appeal has dismissed a second appeal by the Director of Westpoint Realty Pty Ltd (in liquidation), Mr Norman Phillip Carey, against five convictions for making false or misleading representations. Mr Carey was convicted in his personal capacity because he was a Director of </w:t>
            </w:r>
            <w:r w:rsidRPr="001A4813">
              <w:rPr>
                <w:rFonts w:ascii="Arial" w:hAnsi="Arial" w:cs="Arial"/>
                <w:sz w:val="20"/>
                <w:szCs w:val="20"/>
              </w:rPr>
              <w:lastRenderedPageBreak/>
              <w:t>Westpoint Corporation, and failed to persuade the Magistrate that he could have prevented the offences by reasonable diligence.</w:t>
            </w:r>
          </w:p>
          <w:p w:rsidR="001A4813" w:rsidRPr="006E6EDC" w:rsidRDefault="001A4813" w:rsidP="001A4813">
            <w:pPr>
              <w:autoSpaceDE w:val="0"/>
              <w:autoSpaceDN w:val="0"/>
              <w:adjustRightInd w:val="0"/>
              <w:ind w:left="376"/>
              <w:jc w:val="both"/>
              <w:rPr>
                <w:rFonts w:ascii="Arial" w:hAnsi="Arial" w:cs="Arial"/>
                <w:sz w:val="20"/>
                <w:szCs w:val="20"/>
              </w:rPr>
            </w:pPr>
          </w:p>
          <w:p w:rsidR="001A4813" w:rsidRPr="001A4813" w:rsidRDefault="001A4813" w:rsidP="001A4813">
            <w:pPr>
              <w:pStyle w:val="ListParagraph"/>
              <w:numPr>
                <w:ilvl w:val="0"/>
                <w:numId w:val="19"/>
              </w:numPr>
              <w:autoSpaceDE w:val="0"/>
              <w:autoSpaceDN w:val="0"/>
              <w:adjustRightInd w:val="0"/>
              <w:ind w:left="376"/>
              <w:jc w:val="both"/>
              <w:rPr>
                <w:rFonts w:ascii="Arial" w:hAnsi="Arial" w:cs="Arial"/>
                <w:sz w:val="20"/>
                <w:szCs w:val="20"/>
              </w:rPr>
            </w:pPr>
            <w:r w:rsidRPr="001A4813">
              <w:rPr>
                <w:rFonts w:ascii="Arial" w:hAnsi="Arial" w:cs="Arial"/>
                <w:sz w:val="20"/>
                <w:szCs w:val="20"/>
              </w:rPr>
              <w:t xml:space="preserve">A number of changes are being made to the application forms for real estate and business agent licenses as a result of an interim review to bring the forms in line with current policies under the </w:t>
            </w:r>
            <w:r w:rsidRPr="001A4813">
              <w:rPr>
                <w:rFonts w:ascii="Arial" w:hAnsi="Arial" w:cs="Arial"/>
                <w:i/>
                <w:iCs/>
                <w:sz w:val="20"/>
                <w:szCs w:val="20"/>
              </w:rPr>
              <w:t xml:space="preserve">Real Estate and Business Agents Act 1978 </w:t>
            </w:r>
            <w:r w:rsidRPr="001A4813">
              <w:rPr>
                <w:rFonts w:ascii="Arial" w:hAnsi="Arial" w:cs="Arial"/>
                <w:sz w:val="20"/>
                <w:szCs w:val="20"/>
              </w:rPr>
              <w:t>(REBA Act). These changes seek to reduce red tape for business and streamline the application process.</w:t>
            </w:r>
          </w:p>
          <w:p w:rsidR="001A4813" w:rsidRPr="006E6EDC" w:rsidRDefault="001A4813" w:rsidP="001A4813">
            <w:pPr>
              <w:pStyle w:val="ListParagraph"/>
              <w:ind w:left="376"/>
              <w:rPr>
                <w:rFonts w:ascii="Arial" w:hAnsi="Arial" w:cs="Arial"/>
                <w:sz w:val="20"/>
                <w:szCs w:val="20"/>
              </w:rPr>
            </w:pPr>
          </w:p>
          <w:p w:rsidR="001A4813" w:rsidRPr="001A4813" w:rsidRDefault="001A4813" w:rsidP="001A4813">
            <w:pPr>
              <w:pStyle w:val="ListParagraph"/>
              <w:numPr>
                <w:ilvl w:val="0"/>
                <w:numId w:val="19"/>
              </w:numPr>
              <w:autoSpaceDE w:val="0"/>
              <w:autoSpaceDN w:val="0"/>
              <w:adjustRightInd w:val="0"/>
              <w:spacing w:after="120"/>
              <w:ind w:left="376"/>
              <w:jc w:val="both"/>
              <w:rPr>
                <w:rFonts w:ascii="Arial" w:hAnsi="Arial" w:cs="Arial"/>
                <w:sz w:val="20"/>
                <w:szCs w:val="20"/>
              </w:rPr>
            </w:pPr>
            <w:r w:rsidRPr="001A4813">
              <w:rPr>
                <w:rFonts w:ascii="Arial" w:hAnsi="Arial" w:cs="Arial"/>
                <w:sz w:val="20"/>
                <w:szCs w:val="20"/>
              </w:rPr>
              <w:t>ASIC has released a booklet to help small businesses understand their compliance obligations.</w:t>
            </w:r>
          </w:p>
        </w:tc>
      </w:tr>
    </w:tbl>
    <w:p w:rsidR="001A4813" w:rsidRPr="006E6EDC" w:rsidRDefault="001A4813" w:rsidP="001A4813">
      <w:pPr>
        <w:autoSpaceDE w:val="0"/>
        <w:autoSpaceDN w:val="0"/>
        <w:adjustRightInd w:val="0"/>
        <w:spacing w:after="0" w:line="240" w:lineRule="auto"/>
        <w:jc w:val="both"/>
        <w:rPr>
          <w:rFonts w:ascii="HelveticaNeue-Medium" w:hAnsi="HelveticaNeue-Medium" w:cs="HelveticaNeue-Medium"/>
        </w:rPr>
      </w:pPr>
      <w:r w:rsidRPr="006E6EDC">
        <w:rPr>
          <w:rFonts w:ascii="HelveticaNeueLTStd-Lt" w:hAnsi="HelveticaNeueLTStd-Lt" w:cs="HelveticaNeueLTStd-Lt"/>
          <w:sz w:val="19"/>
          <w:szCs w:val="19"/>
        </w:rPr>
        <w:lastRenderedPageBreak/>
        <w:t>.</w:t>
      </w:r>
      <w:r w:rsidRPr="006E6EDC">
        <w:rPr>
          <w:rFonts w:ascii="HelveticaNeue-Medium" w:hAnsi="HelveticaNeue-Medium" w:cs="HelveticaNeue-Medium"/>
        </w:rPr>
        <w:t xml:space="preserve"> </w:t>
      </w:r>
    </w:p>
    <w:p w:rsidR="00D9722D" w:rsidRDefault="001A4813" w:rsidP="003D5CAC">
      <w:pPr>
        <w:spacing w:after="0"/>
        <w:rPr>
          <w:rFonts w:ascii="HelveticaNeue-Medium" w:hAnsi="HelveticaNeue-Medium" w:cs="HelveticaNeue-Medium"/>
        </w:rPr>
      </w:pPr>
      <w:r w:rsidRPr="006E6EDC">
        <w:rPr>
          <w:rFonts w:ascii="HelveticaNeue-Medium" w:hAnsi="HelveticaNeue-Medium" w:cs="HelveticaNeue-Medium"/>
        </w:rPr>
        <w:br w:type="page"/>
      </w:r>
    </w:p>
    <w:p w:rsidR="001A4813" w:rsidRPr="006E6EDC" w:rsidRDefault="001A4813" w:rsidP="003D5CAC">
      <w:pPr>
        <w:spacing w:after="0"/>
        <w:rPr>
          <w:rFonts w:ascii="HelveticaNeue-Medium" w:hAnsi="HelveticaNeue-Medium" w:cs="HelveticaNeue-Medium"/>
        </w:rPr>
      </w:pPr>
    </w:p>
    <w:p w:rsidR="00C527DA" w:rsidRPr="006E6EDC" w:rsidRDefault="00C527DA" w:rsidP="00BA0395">
      <w:pPr>
        <w:spacing w:after="0"/>
        <w:jc w:val="both"/>
        <w:rPr>
          <w:rFonts w:ascii="Arial" w:hAnsi="Arial" w:cs="Arial"/>
          <w:sz w:val="20"/>
          <w:szCs w:val="20"/>
        </w:rPr>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B165DC">
        <w:tc>
          <w:tcPr>
            <w:tcW w:w="1361" w:type="dxa"/>
            <w:shd w:val="clear" w:color="auto" w:fill="D9D9D9" w:themeFill="background1" w:themeFillShade="D9"/>
          </w:tcPr>
          <w:p w:rsidR="00B165DC" w:rsidRPr="006E6EDC" w:rsidRDefault="00B165DC" w:rsidP="00B165DC">
            <w:pPr>
              <w:spacing w:before="60" w:after="60"/>
              <w:rPr>
                <w:b/>
                <w:sz w:val="24"/>
                <w:szCs w:val="24"/>
              </w:rPr>
            </w:pPr>
            <w:r w:rsidRPr="006E6EDC">
              <w:rPr>
                <w:b/>
                <w:sz w:val="24"/>
                <w:szCs w:val="24"/>
              </w:rPr>
              <w:t>DATE / NO.</w:t>
            </w:r>
          </w:p>
        </w:tc>
        <w:tc>
          <w:tcPr>
            <w:tcW w:w="3792" w:type="dxa"/>
            <w:shd w:val="clear" w:color="auto" w:fill="D9D9D9" w:themeFill="background1" w:themeFillShade="D9"/>
          </w:tcPr>
          <w:p w:rsidR="00B165DC" w:rsidRPr="006E6EDC" w:rsidRDefault="00B165DC" w:rsidP="00B165DC">
            <w:pPr>
              <w:spacing w:before="60" w:after="60"/>
              <w:rPr>
                <w:b/>
                <w:sz w:val="24"/>
                <w:szCs w:val="24"/>
              </w:rPr>
            </w:pPr>
            <w:r w:rsidRPr="006E6EDC">
              <w:rPr>
                <w:b/>
                <w:sz w:val="24"/>
                <w:szCs w:val="24"/>
              </w:rPr>
              <w:t xml:space="preserve">ISSUE / TITLE </w:t>
            </w:r>
          </w:p>
        </w:tc>
        <w:tc>
          <w:tcPr>
            <w:tcW w:w="9824" w:type="dxa"/>
            <w:shd w:val="clear" w:color="auto" w:fill="D9D9D9" w:themeFill="background1" w:themeFillShade="D9"/>
          </w:tcPr>
          <w:p w:rsidR="00B165DC" w:rsidRPr="006E6EDC" w:rsidRDefault="00B165DC" w:rsidP="00B165DC">
            <w:pPr>
              <w:spacing w:before="60" w:after="60"/>
              <w:rPr>
                <w:b/>
                <w:sz w:val="24"/>
                <w:szCs w:val="24"/>
              </w:rPr>
            </w:pPr>
            <w:r w:rsidRPr="006E6EDC">
              <w:rPr>
                <w:b/>
                <w:sz w:val="24"/>
                <w:szCs w:val="24"/>
              </w:rPr>
              <w:t>CONTENT SUMMARY</w:t>
            </w:r>
          </w:p>
        </w:tc>
      </w:tr>
      <w:tr w:rsidR="006E6EDC" w:rsidRPr="006E6EDC" w:rsidTr="00B165DC">
        <w:tc>
          <w:tcPr>
            <w:tcW w:w="1361" w:type="dxa"/>
          </w:tcPr>
          <w:p w:rsidR="00C527DA" w:rsidRPr="006E6EDC" w:rsidRDefault="00C56627" w:rsidP="00AD7E16">
            <w:pPr>
              <w:spacing w:before="120" w:after="120"/>
              <w:jc w:val="both"/>
              <w:rPr>
                <w:b/>
                <w:bCs/>
              </w:rPr>
            </w:pPr>
            <w:r w:rsidRPr="006E6EDC">
              <w:rPr>
                <w:b/>
                <w:bCs/>
              </w:rPr>
              <w:t>S</w:t>
            </w:r>
            <w:r w:rsidR="00C527DA" w:rsidRPr="006E6EDC">
              <w:rPr>
                <w:b/>
                <w:bCs/>
              </w:rPr>
              <w:t>pring /</w:t>
            </w:r>
          </w:p>
          <w:p w:rsidR="00C56627" w:rsidRPr="006E6EDC" w:rsidRDefault="00C527DA" w:rsidP="00AD7E16">
            <w:pPr>
              <w:spacing w:before="120" w:after="120"/>
              <w:jc w:val="both"/>
            </w:pPr>
            <w:r w:rsidRPr="006E6EDC">
              <w:rPr>
                <w:b/>
                <w:bCs/>
              </w:rPr>
              <w:t>S</w:t>
            </w:r>
            <w:r w:rsidR="00C56627" w:rsidRPr="006E6EDC">
              <w:rPr>
                <w:b/>
                <w:bCs/>
              </w:rPr>
              <w:t>eptember</w:t>
            </w:r>
            <w:r w:rsidRPr="006E6EDC">
              <w:rPr>
                <w:b/>
                <w:bCs/>
              </w:rPr>
              <w:t xml:space="preserve"> 2013</w:t>
            </w:r>
          </w:p>
          <w:p w:rsidR="00072350" w:rsidRPr="006E6EDC" w:rsidRDefault="00C56627" w:rsidP="00AD7E16">
            <w:pPr>
              <w:spacing w:before="120"/>
              <w:jc w:val="both"/>
              <w:rPr>
                <w:b/>
                <w:bCs/>
              </w:rPr>
            </w:pPr>
            <w:r w:rsidRPr="006E6EDC">
              <w:rPr>
                <w:b/>
                <w:bCs/>
              </w:rPr>
              <w:t>No. 7</w:t>
            </w:r>
          </w:p>
          <w:p w:rsidR="00C56627" w:rsidRPr="006E6EDC" w:rsidRDefault="00C56627" w:rsidP="00AD7E16">
            <w:pPr>
              <w:spacing w:before="120"/>
              <w:jc w:val="both"/>
            </w:pPr>
          </w:p>
        </w:tc>
        <w:tc>
          <w:tcPr>
            <w:tcW w:w="3792" w:type="dxa"/>
          </w:tcPr>
          <w:p w:rsidR="00D9722D" w:rsidRPr="006E6EDC" w:rsidRDefault="009442F3" w:rsidP="0074319B">
            <w:pPr>
              <w:pStyle w:val="ListParagraph"/>
              <w:numPr>
                <w:ilvl w:val="0"/>
                <w:numId w:val="2"/>
              </w:numPr>
              <w:tabs>
                <w:tab w:val="right" w:pos="2540"/>
              </w:tabs>
              <w:spacing w:before="120" w:after="120"/>
              <w:ind w:left="340" w:right="-16"/>
              <w:jc w:val="both"/>
              <w:rPr>
                <w:rFonts w:cstheme="minorHAnsi"/>
                <w:b/>
              </w:rPr>
            </w:pPr>
            <w:r w:rsidRPr="006E6EDC">
              <w:rPr>
                <w:rFonts w:cstheme="minorHAnsi"/>
                <w:b/>
              </w:rPr>
              <w:t>Unregistered sales representatives</w:t>
            </w:r>
          </w:p>
          <w:p w:rsidR="009442F3" w:rsidRPr="006E6EDC" w:rsidRDefault="009442F3" w:rsidP="00D9722D">
            <w:pPr>
              <w:pStyle w:val="ListParagraph"/>
              <w:tabs>
                <w:tab w:val="right" w:pos="2540"/>
              </w:tabs>
              <w:ind w:left="340" w:right="-16"/>
              <w:jc w:val="both"/>
              <w:rPr>
                <w:rFonts w:cstheme="minorHAnsi"/>
                <w:b/>
              </w:rPr>
            </w:pPr>
          </w:p>
          <w:p w:rsidR="00D9722D" w:rsidRPr="006E6EDC" w:rsidRDefault="009442F3" w:rsidP="0074319B">
            <w:pPr>
              <w:pStyle w:val="ListParagraph"/>
              <w:numPr>
                <w:ilvl w:val="0"/>
                <w:numId w:val="2"/>
              </w:numPr>
              <w:tabs>
                <w:tab w:val="right" w:pos="2540"/>
              </w:tabs>
              <w:ind w:left="340" w:right="-16"/>
              <w:jc w:val="both"/>
              <w:rPr>
                <w:rFonts w:cstheme="minorHAnsi"/>
                <w:b/>
              </w:rPr>
            </w:pPr>
            <w:r w:rsidRPr="006E6EDC">
              <w:rPr>
                <w:rFonts w:cstheme="minorHAnsi"/>
                <w:b/>
              </w:rPr>
              <w:t>Title searches and advertising costs</w:t>
            </w:r>
          </w:p>
          <w:p w:rsidR="009442F3" w:rsidRPr="006E6EDC" w:rsidRDefault="009442F3" w:rsidP="00D9722D">
            <w:pPr>
              <w:pStyle w:val="ListParagraph"/>
              <w:tabs>
                <w:tab w:val="right" w:pos="2540"/>
              </w:tabs>
              <w:ind w:left="340" w:right="-16"/>
              <w:jc w:val="both"/>
              <w:rPr>
                <w:rFonts w:cstheme="minorHAnsi"/>
                <w:b/>
              </w:rPr>
            </w:pPr>
            <w:r w:rsidRPr="006E6EDC">
              <w:rPr>
                <w:rFonts w:cstheme="minorHAnsi"/>
                <w:b/>
              </w:rPr>
              <w:t xml:space="preserve"> </w:t>
            </w:r>
          </w:p>
          <w:p w:rsidR="009442F3" w:rsidRPr="006E6EDC" w:rsidRDefault="009442F3" w:rsidP="0074319B">
            <w:pPr>
              <w:pStyle w:val="ListParagraph"/>
              <w:numPr>
                <w:ilvl w:val="0"/>
                <w:numId w:val="2"/>
              </w:numPr>
              <w:tabs>
                <w:tab w:val="right" w:pos="2540"/>
              </w:tabs>
              <w:ind w:left="340" w:right="-16"/>
              <w:jc w:val="both"/>
              <w:rPr>
                <w:rFonts w:cstheme="minorHAnsi"/>
                <w:b/>
              </w:rPr>
            </w:pPr>
            <w:r w:rsidRPr="006E6EDC">
              <w:rPr>
                <w:rFonts w:cstheme="minorHAnsi"/>
                <w:b/>
              </w:rPr>
              <w:t xml:space="preserve">Supreme Court decision relating to memorials on titles </w:t>
            </w:r>
          </w:p>
          <w:p w:rsidR="009442F3" w:rsidRPr="006E6EDC" w:rsidRDefault="009442F3" w:rsidP="00CF5E0C">
            <w:pPr>
              <w:tabs>
                <w:tab w:val="right" w:pos="2540"/>
              </w:tabs>
              <w:ind w:right="-16"/>
              <w:jc w:val="both"/>
              <w:rPr>
                <w:rFonts w:cstheme="minorHAnsi"/>
                <w:b/>
              </w:rPr>
            </w:pPr>
          </w:p>
          <w:p w:rsidR="009442F3" w:rsidRPr="006E6EDC" w:rsidRDefault="009442F3" w:rsidP="0074319B">
            <w:pPr>
              <w:pStyle w:val="ListParagraph"/>
              <w:numPr>
                <w:ilvl w:val="0"/>
                <w:numId w:val="2"/>
              </w:numPr>
              <w:tabs>
                <w:tab w:val="right" w:pos="2540"/>
              </w:tabs>
              <w:ind w:left="340" w:right="-16"/>
              <w:jc w:val="both"/>
              <w:rPr>
                <w:rFonts w:cstheme="minorHAnsi"/>
                <w:b/>
              </w:rPr>
            </w:pPr>
            <w:r w:rsidRPr="006E6EDC">
              <w:rPr>
                <w:rFonts w:cstheme="minorHAnsi"/>
                <w:b/>
              </w:rPr>
              <w:t xml:space="preserve">Warning about late bonds after agent fined $10,000 </w:t>
            </w:r>
          </w:p>
          <w:p w:rsidR="00D9722D" w:rsidRPr="006E6EDC" w:rsidRDefault="00D9722D" w:rsidP="00D9722D">
            <w:pPr>
              <w:pStyle w:val="ListParagraph"/>
              <w:tabs>
                <w:tab w:val="right" w:pos="2540"/>
              </w:tabs>
              <w:ind w:left="340" w:right="-16"/>
              <w:jc w:val="both"/>
              <w:rPr>
                <w:rFonts w:cstheme="minorHAnsi"/>
                <w:b/>
              </w:rPr>
            </w:pPr>
          </w:p>
          <w:p w:rsidR="009442F3" w:rsidRPr="006E6EDC" w:rsidRDefault="009442F3" w:rsidP="0074319B">
            <w:pPr>
              <w:pStyle w:val="ListParagraph"/>
              <w:numPr>
                <w:ilvl w:val="0"/>
                <w:numId w:val="2"/>
              </w:numPr>
              <w:tabs>
                <w:tab w:val="right" w:pos="2540"/>
              </w:tabs>
              <w:ind w:left="340" w:right="-16"/>
              <w:jc w:val="both"/>
              <w:rPr>
                <w:rFonts w:cstheme="minorHAnsi"/>
                <w:b/>
              </w:rPr>
            </w:pPr>
            <w:r w:rsidRPr="006E6EDC">
              <w:rPr>
                <w:rFonts w:cstheme="minorHAnsi"/>
                <w:b/>
              </w:rPr>
              <w:t xml:space="preserve">Rent-to-buy schemes </w:t>
            </w:r>
          </w:p>
          <w:p w:rsidR="00D9722D" w:rsidRPr="006E6EDC" w:rsidRDefault="00D9722D" w:rsidP="00D9722D">
            <w:pPr>
              <w:pStyle w:val="ListParagraph"/>
              <w:tabs>
                <w:tab w:val="right" w:pos="2540"/>
              </w:tabs>
              <w:ind w:left="340" w:right="-16" w:hanging="340"/>
              <w:jc w:val="both"/>
              <w:rPr>
                <w:rFonts w:cstheme="minorHAnsi"/>
                <w:b/>
              </w:rPr>
            </w:pPr>
          </w:p>
          <w:p w:rsidR="009442F3" w:rsidRPr="006E6EDC" w:rsidRDefault="009442F3" w:rsidP="0074319B">
            <w:pPr>
              <w:pStyle w:val="ListParagraph"/>
              <w:numPr>
                <w:ilvl w:val="0"/>
                <w:numId w:val="2"/>
              </w:numPr>
              <w:tabs>
                <w:tab w:val="right" w:pos="2540"/>
              </w:tabs>
              <w:ind w:left="340" w:right="-16" w:hanging="340"/>
              <w:jc w:val="both"/>
              <w:rPr>
                <w:rFonts w:cstheme="minorHAnsi"/>
                <w:b/>
              </w:rPr>
            </w:pPr>
            <w:r w:rsidRPr="006E6EDC">
              <w:rPr>
                <w:rFonts w:cstheme="minorHAnsi"/>
                <w:b/>
              </w:rPr>
              <w:t>Final inspections before settlement</w:t>
            </w:r>
          </w:p>
          <w:p w:rsidR="00D9722D" w:rsidRPr="006E6EDC" w:rsidRDefault="00D9722D" w:rsidP="00D9722D">
            <w:pPr>
              <w:pStyle w:val="ListParagraph"/>
              <w:ind w:left="340" w:hanging="340"/>
              <w:rPr>
                <w:rFonts w:cstheme="minorHAnsi"/>
                <w:b/>
              </w:rPr>
            </w:pPr>
          </w:p>
          <w:p w:rsidR="009442F3" w:rsidRPr="006E6EDC" w:rsidRDefault="00D9722D" w:rsidP="0074319B">
            <w:pPr>
              <w:pStyle w:val="ListParagraph"/>
              <w:numPr>
                <w:ilvl w:val="0"/>
                <w:numId w:val="2"/>
              </w:numPr>
              <w:tabs>
                <w:tab w:val="right" w:pos="2540"/>
              </w:tabs>
              <w:ind w:left="340" w:right="-16" w:hanging="340"/>
              <w:jc w:val="both"/>
              <w:rPr>
                <w:rFonts w:cstheme="minorHAnsi"/>
                <w:b/>
              </w:rPr>
            </w:pPr>
            <w:r w:rsidRPr="006E6EDC">
              <w:rPr>
                <w:rFonts w:cstheme="minorHAnsi"/>
                <w:b/>
              </w:rPr>
              <w:t>S</w:t>
            </w:r>
            <w:r w:rsidR="009442F3" w:rsidRPr="006E6EDC">
              <w:rPr>
                <w:rFonts w:cstheme="minorHAnsi"/>
                <w:b/>
              </w:rPr>
              <w:t xml:space="preserve">upreme Court injunctions against rent-to-buy property promoters </w:t>
            </w:r>
          </w:p>
          <w:p w:rsidR="00D9722D" w:rsidRPr="006E6EDC" w:rsidRDefault="00D9722D" w:rsidP="00D9722D">
            <w:pPr>
              <w:pStyle w:val="ListParagraph"/>
              <w:ind w:left="340" w:hanging="340"/>
              <w:rPr>
                <w:rFonts w:cstheme="minorHAnsi"/>
                <w:b/>
              </w:rPr>
            </w:pPr>
          </w:p>
          <w:p w:rsidR="009442F3" w:rsidRPr="006E6EDC" w:rsidRDefault="009442F3" w:rsidP="0074319B">
            <w:pPr>
              <w:pStyle w:val="ListParagraph"/>
              <w:numPr>
                <w:ilvl w:val="0"/>
                <w:numId w:val="2"/>
              </w:numPr>
              <w:tabs>
                <w:tab w:val="right" w:pos="2540"/>
              </w:tabs>
              <w:ind w:left="340" w:right="-16" w:hanging="340"/>
              <w:jc w:val="both"/>
              <w:rPr>
                <w:rFonts w:cstheme="minorHAnsi"/>
                <w:b/>
              </w:rPr>
            </w:pPr>
            <w:r w:rsidRPr="006E6EDC">
              <w:rPr>
                <w:rFonts w:cstheme="minorHAnsi"/>
                <w:b/>
              </w:rPr>
              <w:t xml:space="preserve">The small business ACL checklist </w:t>
            </w:r>
          </w:p>
          <w:p w:rsidR="00D9722D" w:rsidRPr="006E6EDC" w:rsidRDefault="00D9722D" w:rsidP="00D9722D">
            <w:pPr>
              <w:pStyle w:val="ListParagraph"/>
              <w:ind w:left="340" w:hanging="340"/>
              <w:rPr>
                <w:rFonts w:cstheme="minorHAnsi"/>
                <w:b/>
              </w:rPr>
            </w:pPr>
          </w:p>
          <w:p w:rsidR="00D9722D" w:rsidRPr="006E6EDC" w:rsidRDefault="009442F3" w:rsidP="0074319B">
            <w:pPr>
              <w:pStyle w:val="ListParagraph"/>
              <w:numPr>
                <w:ilvl w:val="0"/>
                <w:numId w:val="2"/>
              </w:numPr>
              <w:tabs>
                <w:tab w:val="right" w:pos="2540"/>
              </w:tabs>
              <w:ind w:left="340" w:right="-16" w:hanging="340"/>
              <w:jc w:val="both"/>
              <w:rPr>
                <w:rFonts w:cstheme="minorHAnsi"/>
                <w:b/>
              </w:rPr>
            </w:pPr>
            <w:r w:rsidRPr="006E6EDC">
              <w:rPr>
                <w:rFonts w:cstheme="minorHAnsi"/>
                <w:b/>
              </w:rPr>
              <w:t xml:space="preserve">Changes to water billing </w:t>
            </w:r>
          </w:p>
          <w:p w:rsidR="00D9722D" w:rsidRPr="006E6EDC" w:rsidRDefault="00D9722D" w:rsidP="00D9722D">
            <w:pPr>
              <w:pStyle w:val="ListParagraph"/>
              <w:ind w:left="340" w:hanging="340"/>
              <w:rPr>
                <w:rFonts w:cstheme="minorHAnsi"/>
                <w:b/>
              </w:rPr>
            </w:pPr>
          </w:p>
          <w:p w:rsidR="009442F3" w:rsidRPr="006E6EDC" w:rsidRDefault="00D9722D" w:rsidP="0074319B">
            <w:pPr>
              <w:pStyle w:val="ListParagraph"/>
              <w:numPr>
                <w:ilvl w:val="0"/>
                <w:numId w:val="2"/>
              </w:numPr>
              <w:tabs>
                <w:tab w:val="right" w:pos="2540"/>
              </w:tabs>
              <w:ind w:left="340" w:right="-16" w:hanging="340"/>
              <w:jc w:val="both"/>
              <w:rPr>
                <w:rFonts w:cstheme="minorHAnsi"/>
                <w:b/>
              </w:rPr>
            </w:pPr>
            <w:r w:rsidRPr="006E6EDC">
              <w:rPr>
                <w:rFonts w:cstheme="minorHAnsi"/>
                <w:b/>
              </w:rPr>
              <w:t>U</w:t>
            </w:r>
            <w:r w:rsidR="009442F3" w:rsidRPr="006E6EDC">
              <w:rPr>
                <w:rFonts w:cstheme="minorHAnsi"/>
                <w:b/>
              </w:rPr>
              <w:t xml:space="preserve">nfair contract terms </w:t>
            </w:r>
          </w:p>
          <w:p w:rsidR="00D9722D" w:rsidRPr="006E6EDC" w:rsidRDefault="00D9722D" w:rsidP="00D9722D">
            <w:pPr>
              <w:pStyle w:val="ListParagraph"/>
              <w:ind w:left="340" w:hanging="340"/>
              <w:rPr>
                <w:rFonts w:cstheme="minorHAnsi"/>
                <w:b/>
              </w:rPr>
            </w:pPr>
          </w:p>
          <w:p w:rsidR="00D9722D" w:rsidRPr="006E6EDC" w:rsidRDefault="009442F3" w:rsidP="0074319B">
            <w:pPr>
              <w:pStyle w:val="ListParagraph"/>
              <w:numPr>
                <w:ilvl w:val="0"/>
                <w:numId w:val="2"/>
              </w:numPr>
              <w:tabs>
                <w:tab w:val="right" w:pos="2540"/>
              </w:tabs>
              <w:ind w:left="340" w:right="-16" w:hanging="340"/>
              <w:jc w:val="both"/>
              <w:rPr>
                <w:rFonts w:cstheme="minorHAnsi"/>
                <w:b/>
              </w:rPr>
            </w:pPr>
            <w:r w:rsidRPr="006E6EDC">
              <w:rPr>
                <w:rFonts w:cstheme="minorHAnsi"/>
                <w:b/>
              </w:rPr>
              <w:t xml:space="preserve">Maintaining smoke alarms </w:t>
            </w:r>
          </w:p>
          <w:p w:rsidR="00D9722D" w:rsidRPr="006E6EDC" w:rsidRDefault="00D9722D" w:rsidP="00D9722D">
            <w:pPr>
              <w:pStyle w:val="ListParagraph"/>
              <w:tabs>
                <w:tab w:val="right" w:pos="2540"/>
              </w:tabs>
              <w:ind w:left="340" w:right="-16"/>
              <w:jc w:val="both"/>
              <w:rPr>
                <w:rFonts w:cstheme="minorHAnsi"/>
                <w:b/>
              </w:rPr>
            </w:pPr>
          </w:p>
          <w:p w:rsidR="00072350" w:rsidRPr="006E6EDC" w:rsidRDefault="00072350" w:rsidP="00D9722D">
            <w:pPr>
              <w:tabs>
                <w:tab w:val="right" w:pos="2540"/>
              </w:tabs>
              <w:spacing w:before="120" w:after="120"/>
              <w:ind w:right="-16"/>
              <w:jc w:val="both"/>
              <w:rPr>
                <w:rFonts w:cstheme="minorHAnsi"/>
                <w:b/>
              </w:rPr>
            </w:pPr>
          </w:p>
        </w:tc>
        <w:tc>
          <w:tcPr>
            <w:tcW w:w="9824" w:type="dxa"/>
          </w:tcPr>
          <w:p w:rsidR="00D9722D" w:rsidRPr="006E6EDC" w:rsidRDefault="00D9722D" w:rsidP="0074319B">
            <w:pPr>
              <w:pStyle w:val="ListParagraph"/>
              <w:numPr>
                <w:ilvl w:val="0"/>
                <w:numId w:val="3"/>
              </w:numPr>
              <w:spacing w:before="120"/>
              <w:jc w:val="both"/>
              <w:rPr>
                <w:rFonts w:ascii="Arial" w:hAnsi="Arial" w:cs="Arial"/>
                <w:sz w:val="20"/>
                <w:szCs w:val="20"/>
              </w:rPr>
            </w:pPr>
            <w:r w:rsidRPr="006E6EDC">
              <w:rPr>
                <w:rFonts w:ascii="Arial" w:hAnsi="Arial" w:cs="Arial"/>
                <w:sz w:val="20"/>
                <w:szCs w:val="20"/>
              </w:rPr>
              <w:t>Department is currently investigating several sales representatives who appear to have conducted real estate transactions without an up-to-date certificate of registration.</w:t>
            </w:r>
          </w:p>
          <w:p w:rsidR="00D9722D" w:rsidRPr="006E6EDC" w:rsidRDefault="00D9722D" w:rsidP="00D9722D">
            <w:pPr>
              <w:pStyle w:val="Default"/>
              <w:rPr>
                <w:rFonts w:ascii="Arial" w:hAnsi="Arial" w:cs="Arial"/>
                <w:color w:val="auto"/>
                <w:sz w:val="20"/>
                <w:szCs w:val="20"/>
              </w:rPr>
            </w:pPr>
          </w:p>
          <w:p w:rsidR="00D9722D" w:rsidRPr="006E6EDC" w:rsidRDefault="00D9722D" w:rsidP="0074319B">
            <w:pPr>
              <w:pStyle w:val="ListParagraph"/>
              <w:numPr>
                <w:ilvl w:val="0"/>
                <w:numId w:val="3"/>
              </w:numPr>
              <w:jc w:val="both"/>
              <w:rPr>
                <w:rFonts w:ascii="Arial" w:hAnsi="Arial" w:cs="Arial"/>
                <w:sz w:val="20"/>
                <w:szCs w:val="20"/>
              </w:rPr>
            </w:pPr>
            <w:r w:rsidRPr="006E6EDC">
              <w:rPr>
                <w:rFonts w:ascii="Arial" w:hAnsi="Arial" w:cs="Arial"/>
                <w:sz w:val="20"/>
                <w:szCs w:val="20"/>
              </w:rPr>
              <w:t>Following further enquiries about an article on compliance issues and advertising (see Real Estate News Issue 6), the Department advises these costs can be charged to clients so long as they are explicitly detailed in the contract. That is, title searches should be shown separately under a heading such as “Miscellaneous costs” but should not be included under a heading such as “Advertising costs” (as they are not advertising costs).</w:t>
            </w:r>
          </w:p>
          <w:p w:rsidR="00D9722D" w:rsidRPr="006E6EDC" w:rsidRDefault="00D9722D" w:rsidP="00D9722D">
            <w:pPr>
              <w:pStyle w:val="Default"/>
              <w:rPr>
                <w:rFonts w:ascii="Arial" w:hAnsi="Arial" w:cs="Arial"/>
                <w:color w:val="auto"/>
                <w:sz w:val="20"/>
                <w:szCs w:val="20"/>
              </w:rPr>
            </w:pPr>
          </w:p>
          <w:p w:rsidR="00C56627" w:rsidRPr="006E6EDC" w:rsidRDefault="00D9722D" w:rsidP="0074319B">
            <w:pPr>
              <w:pStyle w:val="ListParagraph"/>
              <w:numPr>
                <w:ilvl w:val="0"/>
                <w:numId w:val="3"/>
              </w:numPr>
              <w:jc w:val="both"/>
              <w:rPr>
                <w:rFonts w:ascii="Arial" w:hAnsi="Arial" w:cs="Arial"/>
                <w:sz w:val="20"/>
                <w:szCs w:val="20"/>
              </w:rPr>
            </w:pPr>
            <w:r w:rsidRPr="006E6EDC">
              <w:rPr>
                <w:rFonts w:ascii="Arial" w:hAnsi="Arial" w:cs="Arial"/>
                <w:sz w:val="20"/>
                <w:szCs w:val="20"/>
              </w:rPr>
              <w:t>An important</w:t>
            </w:r>
            <w:r w:rsidR="00CF5E0C" w:rsidRPr="006E6EDC">
              <w:rPr>
                <w:rFonts w:ascii="Arial" w:hAnsi="Arial" w:cs="Arial"/>
                <w:sz w:val="20"/>
                <w:szCs w:val="20"/>
              </w:rPr>
              <w:t xml:space="preserve"> Supreme Court </w:t>
            </w:r>
            <w:r w:rsidRPr="006E6EDC">
              <w:rPr>
                <w:rFonts w:ascii="Arial" w:hAnsi="Arial" w:cs="Arial"/>
                <w:sz w:val="20"/>
                <w:szCs w:val="20"/>
              </w:rPr>
              <w:t>ruling recently handed down in relation to retirement village memorials recorded against land. The application by the retirement village owner to vary a retirement village scheme in order to partially remove a memorial, and</w:t>
            </w:r>
            <w:r w:rsidR="00CF5E0C" w:rsidRPr="006E6EDC">
              <w:rPr>
                <w:rFonts w:ascii="Arial" w:hAnsi="Arial" w:cs="Arial"/>
                <w:sz w:val="20"/>
                <w:szCs w:val="20"/>
              </w:rPr>
              <w:t xml:space="preserve"> excise one lot, was disallowed</w:t>
            </w:r>
            <w:r w:rsidR="00C56627" w:rsidRPr="006E6EDC">
              <w:rPr>
                <w:rFonts w:ascii="Arial" w:hAnsi="Arial" w:cs="Arial"/>
                <w:sz w:val="20"/>
                <w:szCs w:val="20"/>
              </w:rPr>
              <w:t>.</w:t>
            </w:r>
          </w:p>
          <w:p w:rsidR="00CF5E0C" w:rsidRPr="006E6EDC" w:rsidRDefault="00CF5E0C" w:rsidP="00CF5E0C">
            <w:pPr>
              <w:pStyle w:val="Default"/>
              <w:rPr>
                <w:color w:val="auto"/>
              </w:rPr>
            </w:pPr>
          </w:p>
          <w:p w:rsidR="00AF7FE2" w:rsidRPr="006E6EDC" w:rsidRDefault="00CF5E0C" w:rsidP="0074319B">
            <w:pPr>
              <w:pStyle w:val="ListParagraph"/>
              <w:numPr>
                <w:ilvl w:val="0"/>
                <w:numId w:val="3"/>
              </w:numPr>
              <w:jc w:val="both"/>
              <w:rPr>
                <w:rFonts w:ascii="Arial" w:hAnsi="Arial" w:cs="Arial"/>
                <w:sz w:val="20"/>
                <w:szCs w:val="20"/>
              </w:rPr>
            </w:pPr>
            <w:r w:rsidRPr="006E6EDC">
              <w:rPr>
                <w:rFonts w:ascii="Arial" w:hAnsi="Arial" w:cs="Arial"/>
                <w:sz w:val="20"/>
                <w:szCs w:val="20"/>
              </w:rPr>
              <w:t>Consumer Protection has warned real estate agents, property managers and landlords about late bond lodgements after an agency was fined $10,000 by the Perth Magistrates Court.   Dalgon Pty Ltd, formerly trading as Acton West and now trading as Acton Cottesloe, pleaded guilty on 5</w:t>
            </w:r>
            <w:r w:rsidR="009F44B9">
              <w:rPr>
                <w:rFonts w:ascii="Arial" w:hAnsi="Arial" w:cs="Arial"/>
                <w:sz w:val="20"/>
                <w:szCs w:val="20"/>
              </w:rPr>
              <w:t xml:space="preserve"> April </w:t>
            </w:r>
            <w:r w:rsidRPr="006E6EDC">
              <w:rPr>
                <w:rFonts w:ascii="Arial" w:hAnsi="Arial" w:cs="Arial"/>
                <w:sz w:val="20"/>
                <w:szCs w:val="20"/>
              </w:rPr>
              <w:t xml:space="preserve">2013 to 27 charges of failing to lodge security bond money with the Bond Administrator ‘as soon as practicable’, as required under the </w:t>
            </w:r>
            <w:r w:rsidRPr="006E6EDC">
              <w:rPr>
                <w:rFonts w:ascii="Arial" w:hAnsi="Arial" w:cs="Arial"/>
                <w:i/>
                <w:iCs/>
                <w:sz w:val="20"/>
                <w:szCs w:val="20"/>
              </w:rPr>
              <w:t>Residential Tenancies Act 1987</w:t>
            </w:r>
            <w:r w:rsidRPr="006E6EDC">
              <w:rPr>
                <w:rFonts w:ascii="Arial" w:hAnsi="Arial" w:cs="Arial"/>
                <w:sz w:val="20"/>
                <w:szCs w:val="20"/>
              </w:rPr>
              <w:t>. The company was also ordered to pay court costs of $275.</w:t>
            </w:r>
          </w:p>
          <w:p w:rsidR="00CF5E0C" w:rsidRPr="002732D2" w:rsidRDefault="00CF5E0C" w:rsidP="00CF5E0C">
            <w:pPr>
              <w:pStyle w:val="Default"/>
              <w:rPr>
                <w:rFonts w:ascii="Arial" w:hAnsi="Arial" w:cs="Arial"/>
                <w:color w:val="auto"/>
                <w:sz w:val="20"/>
                <w:szCs w:val="20"/>
              </w:rPr>
            </w:pPr>
          </w:p>
          <w:p w:rsidR="00C56627" w:rsidRPr="002732D2" w:rsidRDefault="00CF5E0C" w:rsidP="0074319B">
            <w:pPr>
              <w:pStyle w:val="ListParagraph"/>
              <w:numPr>
                <w:ilvl w:val="0"/>
                <w:numId w:val="3"/>
              </w:numPr>
              <w:jc w:val="both"/>
              <w:rPr>
                <w:rFonts w:ascii="Arial" w:hAnsi="Arial" w:cs="Arial"/>
                <w:sz w:val="20"/>
                <w:szCs w:val="20"/>
              </w:rPr>
            </w:pPr>
            <w:r w:rsidRPr="002732D2">
              <w:rPr>
                <w:rFonts w:ascii="Arial" w:hAnsi="Arial" w:cs="Arial"/>
                <w:sz w:val="20"/>
                <w:szCs w:val="20"/>
              </w:rPr>
              <w:t>Many people who are desperate to purchase a home have been caught in rent-to-buy schemes. Property managers need to be aware of the pitfalls of rent-to-buy schemes in case they are asked to play a role in these schemes.</w:t>
            </w:r>
          </w:p>
          <w:p w:rsidR="00CF5E0C" w:rsidRPr="002732D2" w:rsidRDefault="00CF5E0C" w:rsidP="00CF5E0C">
            <w:pPr>
              <w:pStyle w:val="Default"/>
              <w:rPr>
                <w:rFonts w:ascii="Arial" w:hAnsi="Arial" w:cs="Arial"/>
                <w:color w:val="auto"/>
                <w:sz w:val="20"/>
                <w:szCs w:val="20"/>
              </w:rPr>
            </w:pPr>
          </w:p>
          <w:p w:rsidR="00C56627" w:rsidRPr="002732D2" w:rsidRDefault="00CF5E0C" w:rsidP="0074319B">
            <w:pPr>
              <w:pStyle w:val="ListParagraph"/>
              <w:numPr>
                <w:ilvl w:val="0"/>
                <w:numId w:val="3"/>
              </w:numPr>
              <w:jc w:val="both"/>
              <w:rPr>
                <w:rFonts w:ascii="Arial" w:hAnsi="Arial" w:cs="Arial"/>
                <w:sz w:val="20"/>
                <w:szCs w:val="20"/>
              </w:rPr>
            </w:pPr>
            <w:r w:rsidRPr="002732D2">
              <w:rPr>
                <w:rFonts w:ascii="Arial" w:hAnsi="Arial" w:cs="Arial"/>
                <w:sz w:val="20"/>
                <w:szCs w:val="20"/>
              </w:rPr>
              <w:t>Agents and sales representatives need to be aware of the requirements regarding final inspections in the Joint Form of General Conditions for the Sale of</w:t>
            </w:r>
            <w:r w:rsidR="00760C82" w:rsidRPr="002732D2">
              <w:rPr>
                <w:rFonts w:ascii="Arial" w:hAnsi="Arial" w:cs="Arial"/>
                <w:sz w:val="20"/>
                <w:szCs w:val="20"/>
              </w:rPr>
              <w:t xml:space="preserve"> Land (the General Conditions).</w:t>
            </w:r>
          </w:p>
          <w:p w:rsidR="00AF7FE2" w:rsidRPr="002732D2" w:rsidRDefault="00AF7FE2" w:rsidP="00D9722D">
            <w:pPr>
              <w:pStyle w:val="ListParagraph"/>
              <w:ind w:left="360" w:hanging="360"/>
              <w:jc w:val="both"/>
              <w:rPr>
                <w:rFonts w:ascii="Arial" w:hAnsi="Arial" w:cs="Arial"/>
                <w:sz w:val="20"/>
                <w:szCs w:val="20"/>
              </w:rPr>
            </w:pPr>
          </w:p>
          <w:p w:rsidR="003D5CAC" w:rsidRPr="002732D2" w:rsidRDefault="00CF5E0C" w:rsidP="0074319B">
            <w:pPr>
              <w:pStyle w:val="ListParagraph"/>
              <w:numPr>
                <w:ilvl w:val="0"/>
                <w:numId w:val="3"/>
              </w:numPr>
              <w:jc w:val="both"/>
              <w:rPr>
                <w:rFonts w:ascii="Arial" w:hAnsi="Arial" w:cs="Arial"/>
                <w:sz w:val="20"/>
                <w:szCs w:val="20"/>
              </w:rPr>
            </w:pPr>
            <w:r w:rsidRPr="002732D2">
              <w:rPr>
                <w:rFonts w:ascii="Arial" w:hAnsi="Arial" w:cs="Arial"/>
                <w:sz w:val="20"/>
                <w:szCs w:val="20"/>
              </w:rPr>
              <w:t xml:space="preserve">Supreme Court has granted Consumer Protection interim injunctions against promoters of a rent to buy property scheme in WA which prevent them from engaging in alleged misleading or deceptive conduct.   Patricia Mirawati Susilo and Bryan Artawijaya Susilo of Applecross, are required to publish statements on their website - </w:t>
            </w:r>
            <w:r w:rsidRPr="002732D2">
              <w:rPr>
                <w:rFonts w:ascii="Arial" w:hAnsi="Arial" w:cs="Arial"/>
                <w:b/>
                <w:bCs/>
                <w:sz w:val="20"/>
                <w:szCs w:val="20"/>
              </w:rPr>
              <w:t xml:space="preserve">www.sellhouseseasy. com.au </w:t>
            </w:r>
            <w:r w:rsidRPr="002732D2">
              <w:rPr>
                <w:rFonts w:ascii="Arial" w:hAnsi="Arial" w:cs="Arial"/>
                <w:sz w:val="20"/>
                <w:szCs w:val="20"/>
              </w:rPr>
              <w:t>- clarifying the nature of their business and clearly outlining the purchasing and rental arrangements for the properties they are advertising for sale under the scheme.</w:t>
            </w:r>
          </w:p>
          <w:p w:rsidR="00CF5E0C" w:rsidRPr="006E6EDC" w:rsidRDefault="00CF5E0C" w:rsidP="00CF5E0C">
            <w:pPr>
              <w:jc w:val="both"/>
              <w:rPr>
                <w:rFonts w:ascii="Arial" w:hAnsi="Arial" w:cs="Arial"/>
                <w:sz w:val="20"/>
                <w:szCs w:val="20"/>
              </w:rPr>
            </w:pPr>
          </w:p>
          <w:p w:rsidR="00047715" w:rsidRPr="006E6EDC" w:rsidRDefault="00047715" w:rsidP="00047715">
            <w:pPr>
              <w:pStyle w:val="ListParagraph"/>
              <w:ind w:left="360"/>
              <w:jc w:val="both"/>
              <w:rPr>
                <w:rFonts w:ascii="Arial" w:hAnsi="Arial" w:cs="Arial"/>
                <w:sz w:val="20"/>
                <w:szCs w:val="20"/>
              </w:rPr>
            </w:pPr>
          </w:p>
          <w:p w:rsidR="00CF5E0C" w:rsidRPr="006E6EDC" w:rsidRDefault="00047715" w:rsidP="0074319B">
            <w:pPr>
              <w:pStyle w:val="ListParagraph"/>
              <w:numPr>
                <w:ilvl w:val="0"/>
                <w:numId w:val="3"/>
              </w:numPr>
              <w:jc w:val="both"/>
              <w:rPr>
                <w:rFonts w:ascii="Arial" w:hAnsi="Arial" w:cs="Arial"/>
                <w:sz w:val="20"/>
                <w:szCs w:val="20"/>
              </w:rPr>
            </w:pPr>
            <w:r w:rsidRPr="006E6EDC">
              <w:rPr>
                <w:rFonts w:ascii="Arial" w:hAnsi="Arial" w:cs="Arial"/>
                <w:sz w:val="20"/>
                <w:szCs w:val="20"/>
              </w:rPr>
              <w:t>A</w:t>
            </w:r>
            <w:r w:rsidR="00BA0395" w:rsidRPr="006E6EDC">
              <w:rPr>
                <w:rFonts w:ascii="Arial" w:hAnsi="Arial" w:cs="Arial"/>
                <w:sz w:val="20"/>
                <w:szCs w:val="20"/>
              </w:rPr>
              <w:t>CL</w:t>
            </w:r>
            <w:r w:rsidRPr="006E6EDC">
              <w:rPr>
                <w:rFonts w:ascii="Arial" w:hAnsi="Arial" w:cs="Arial"/>
                <w:sz w:val="20"/>
                <w:szCs w:val="20"/>
              </w:rPr>
              <w:t xml:space="preserve"> came into effect on 1</w:t>
            </w:r>
            <w:r w:rsidR="00BA0395" w:rsidRPr="006E6EDC">
              <w:rPr>
                <w:rFonts w:ascii="Arial" w:hAnsi="Arial" w:cs="Arial"/>
                <w:sz w:val="20"/>
                <w:szCs w:val="20"/>
              </w:rPr>
              <w:t>/1/</w:t>
            </w:r>
            <w:r w:rsidRPr="006E6EDC">
              <w:rPr>
                <w:rFonts w:ascii="Arial" w:hAnsi="Arial" w:cs="Arial"/>
                <w:sz w:val="20"/>
                <w:szCs w:val="20"/>
              </w:rPr>
              <w:t>2011 and most businesses should be aware of the legislation by now. The small business ACL checklist has been designed to help small businesses self-assess their operations and identify which of their activities are regulated under the ACL.</w:t>
            </w:r>
          </w:p>
          <w:p w:rsidR="00047715" w:rsidRPr="006E6EDC" w:rsidRDefault="00047715" w:rsidP="00047715">
            <w:pPr>
              <w:jc w:val="both"/>
              <w:rPr>
                <w:rFonts w:ascii="Arial" w:hAnsi="Arial" w:cs="Arial"/>
                <w:sz w:val="20"/>
                <w:szCs w:val="20"/>
              </w:rPr>
            </w:pPr>
          </w:p>
          <w:p w:rsidR="00416AD9" w:rsidRPr="006E6EDC" w:rsidRDefault="00047715" w:rsidP="0074319B">
            <w:pPr>
              <w:pStyle w:val="ListParagraph"/>
              <w:numPr>
                <w:ilvl w:val="0"/>
                <w:numId w:val="3"/>
              </w:numPr>
              <w:jc w:val="both"/>
              <w:rPr>
                <w:rFonts w:ascii="Arial" w:hAnsi="Arial" w:cs="Arial"/>
                <w:sz w:val="20"/>
                <w:szCs w:val="20"/>
              </w:rPr>
            </w:pPr>
            <w:r w:rsidRPr="006E6EDC">
              <w:rPr>
                <w:rFonts w:ascii="Arial" w:hAnsi="Arial" w:cs="Arial"/>
                <w:sz w:val="20"/>
                <w:szCs w:val="20"/>
              </w:rPr>
              <w:t xml:space="preserve">From July 2013, the Water Corporation implemented combined billing for water use and service charges on a two-monthly basis. This is a shift from the Corporation’s previous process of billing service charges for a full year in advance and water use twice per year in the metropolitan area and three times per year in regional areas. </w:t>
            </w:r>
            <w:r w:rsidR="00C56627" w:rsidRPr="006E6EDC">
              <w:rPr>
                <w:rFonts w:ascii="Arial" w:hAnsi="Arial" w:cs="Arial"/>
                <w:sz w:val="20"/>
                <w:szCs w:val="20"/>
              </w:rPr>
              <w:t>CL came into effect on 1</w:t>
            </w:r>
            <w:r w:rsidR="009F44B9">
              <w:rPr>
                <w:rFonts w:ascii="Arial" w:hAnsi="Arial" w:cs="Arial"/>
                <w:sz w:val="20"/>
                <w:szCs w:val="20"/>
              </w:rPr>
              <w:t xml:space="preserve"> January 20</w:t>
            </w:r>
            <w:r w:rsidR="00C56627" w:rsidRPr="006E6EDC">
              <w:rPr>
                <w:rFonts w:ascii="Arial" w:hAnsi="Arial" w:cs="Arial"/>
                <w:sz w:val="20"/>
                <w:szCs w:val="20"/>
              </w:rPr>
              <w:t xml:space="preserve">11. </w:t>
            </w:r>
            <w:r w:rsidR="005711B3" w:rsidRPr="006E6EDC">
              <w:rPr>
                <w:rFonts w:ascii="Arial" w:hAnsi="Arial" w:cs="Arial"/>
                <w:sz w:val="20"/>
                <w:szCs w:val="20"/>
              </w:rPr>
              <w:t xml:space="preserve"> </w:t>
            </w:r>
            <w:r w:rsidR="00C56627" w:rsidRPr="006E6EDC">
              <w:rPr>
                <w:rFonts w:ascii="Arial" w:hAnsi="Arial" w:cs="Arial"/>
                <w:sz w:val="20"/>
                <w:szCs w:val="20"/>
              </w:rPr>
              <w:t xml:space="preserve">The small business ACL checklist has been designed to help </w:t>
            </w:r>
            <w:r w:rsidR="00B37EF0" w:rsidRPr="006E6EDC">
              <w:rPr>
                <w:rFonts w:ascii="Arial" w:hAnsi="Arial" w:cs="Arial"/>
                <w:sz w:val="20"/>
                <w:szCs w:val="20"/>
              </w:rPr>
              <w:t xml:space="preserve">them </w:t>
            </w:r>
            <w:r w:rsidR="00C56627" w:rsidRPr="006E6EDC">
              <w:rPr>
                <w:rFonts w:ascii="Arial" w:hAnsi="Arial" w:cs="Arial"/>
                <w:sz w:val="20"/>
                <w:szCs w:val="20"/>
              </w:rPr>
              <w:t>self-assess their operations and identify which of their activities are regulated under the ACL.</w:t>
            </w:r>
          </w:p>
          <w:p w:rsidR="00416AD9" w:rsidRPr="006E6EDC" w:rsidRDefault="00416AD9" w:rsidP="00AD7E16">
            <w:pPr>
              <w:pStyle w:val="ListParagraph"/>
              <w:spacing w:before="120"/>
              <w:rPr>
                <w:rFonts w:ascii="Arial" w:hAnsi="Arial" w:cs="Arial"/>
                <w:sz w:val="20"/>
                <w:szCs w:val="20"/>
              </w:rPr>
            </w:pPr>
          </w:p>
          <w:p w:rsidR="00416AD9" w:rsidRPr="006E6EDC" w:rsidRDefault="00047715" w:rsidP="0074319B">
            <w:pPr>
              <w:pStyle w:val="ListParagraph"/>
              <w:numPr>
                <w:ilvl w:val="0"/>
                <w:numId w:val="3"/>
              </w:numPr>
              <w:spacing w:before="120" w:after="120"/>
              <w:jc w:val="both"/>
              <w:rPr>
                <w:rFonts w:ascii="Arial" w:hAnsi="Arial" w:cs="Arial"/>
                <w:sz w:val="20"/>
                <w:szCs w:val="20"/>
              </w:rPr>
            </w:pPr>
            <w:r w:rsidRPr="006E6EDC">
              <w:rPr>
                <w:rFonts w:ascii="Arial" w:hAnsi="Arial" w:cs="Arial"/>
                <w:sz w:val="20"/>
                <w:szCs w:val="20"/>
              </w:rPr>
              <w:t>A</w:t>
            </w:r>
            <w:r w:rsidR="00BA0395" w:rsidRPr="006E6EDC">
              <w:rPr>
                <w:rFonts w:ascii="Arial" w:hAnsi="Arial" w:cs="Arial"/>
                <w:sz w:val="20"/>
                <w:szCs w:val="20"/>
              </w:rPr>
              <w:t>CCC</w:t>
            </w:r>
            <w:r w:rsidRPr="006E6EDC">
              <w:rPr>
                <w:rFonts w:ascii="Arial" w:hAnsi="Arial" w:cs="Arial"/>
                <w:sz w:val="20"/>
                <w:szCs w:val="20"/>
              </w:rPr>
              <w:t xml:space="preserve"> recently conducted a review of standard form consumer contracts in order to identify unfair contract terms and related practices. </w:t>
            </w:r>
            <w:r w:rsidR="00416AD9" w:rsidRPr="006E6EDC">
              <w:rPr>
                <w:rFonts w:ascii="Arial" w:hAnsi="Arial" w:cs="Arial"/>
                <w:sz w:val="20"/>
                <w:szCs w:val="20"/>
              </w:rPr>
              <w:t xml:space="preserve"> </w:t>
            </w:r>
            <w:r w:rsidR="00BA0395" w:rsidRPr="006E6EDC">
              <w:rPr>
                <w:rFonts w:ascii="Arial" w:hAnsi="Arial" w:cs="Arial"/>
                <w:sz w:val="20"/>
                <w:szCs w:val="20"/>
              </w:rPr>
              <w:t xml:space="preserve"> The ACCC reviewed standard form consumer contracts through the lens of the ACL provisions targeting specific consumer issues, including provisions which render unfair terms void in standard form consumer contracts</w:t>
            </w:r>
          </w:p>
          <w:p w:rsidR="00416AD9" w:rsidRPr="006E6EDC" w:rsidRDefault="00BA0395" w:rsidP="0074319B">
            <w:pPr>
              <w:pStyle w:val="Pa3"/>
              <w:numPr>
                <w:ilvl w:val="0"/>
                <w:numId w:val="3"/>
              </w:numPr>
              <w:spacing w:after="100"/>
              <w:jc w:val="both"/>
              <w:rPr>
                <w:rFonts w:ascii="Arial" w:hAnsi="Arial" w:cs="Arial"/>
                <w:sz w:val="20"/>
                <w:szCs w:val="20"/>
              </w:rPr>
            </w:pPr>
            <w:r w:rsidRPr="006E6EDC">
              <w:rPr>
                <w:rFonts w:ascii="Arial" w:hAnsi="Arial" w:cs="Arial"/>
                <w:sz w:val="20"/>
                <w:szCs w:val="20"/>
              </w:rPr>
              <w:t xml:space="preserve">There appears to be some uncertainty among property managers regarding who is responsible for the maintenance of smoke alarms in residential rental properties. A reminder Section 42 of the Residential Tenancies Act 1987 provides it is a condition of every residential tenancy agreement that the lessor must maintain the premises in a reasonable state of repair having regard to its age and character. </w:t>
            </w:r>
          </w:p>
        </w:tc>
      </w:tr>
    </w:tbl>
    <w:p w:rsidR="003D5CAC" w:rsidRPr="006E6EDC" w:rsidRDefault="003D5CAC" w:rsidP="003D5CAC">
      <w:pPr>
        <w:spacing w:after="0"/>
      </w:pPr>
    </w:p>
    <w:p w:rsidR="003D5CAC" w:rsidRPr="006E6EDC" w:rsidRDefault="003D5CAC">
      <w:r w:rsidRPr="006E6EDC">
        <w:br w:type="page"/>
      </w:r>
    </w:p>
    <w:p w:rsidR="00CF5E0C" w:rsidRPr="006E6EDC" w:rsidRDefault="00CF5E0C" w:rsidP="00875DDA">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B165DC">
        <w:tc>
          <w:tcPr>
            <w:tcW w:w="1361" w:type="dxa"/>
            <w:shd w:val="clear" w:color="auto" w:fill="D9D9D9" w:themeFill="background1" w:themeFillShade="D9"/>
          </w:tcPr>
          <w:p w:rsidR="00B165DC" w:rsidRPr="006E6EDC" w:rsidRDefault="00B165DC" w:rsidP="00B165DC">
            <w:pPr>
              <w:spacing w:before="60" w:after="60"/>
              <w:rPr>
                <w:b/>
                <w:sz w:val="24"/>
                <w:szCs w:val="24"/>
              </w:rPr>
            </w:pPr>
            <w:r w:rsidRPr="006E6EDC">
              <w:rPr>
                <w:b/>
                <w:sz w:val="24"/>
                <w:szCs w:val="24"/>
              </w:rPr>
              <w:t>DATE / NO.</w:t>
            </w:r>
          </w:p>
        </w:tc>
        <w:tc>
          <w:tcPr>
            <w:tcW w:w="3792" w:type="dxa"/>
            <w:shd w:val="clear" w:color="auto" w:fill="D9D9D9" w:themeFill="background1" w:themeFillShade="D9"/>
          </w:tcPr>
          <w:p w:rsidR="00B165DC" w:rsidRPr="006E6EDC" w:rsidRDefault="00B165DC" w:rsidP="00B165DC">
            <w:pPr>
              <w:spacing w:before="60" w:after="60"/>
              <w:rPr>
                <w:b/>
                <w:sz w:val="24"/>
                <w:szCs w:val="24"/>
              </w:rPr>
            </w:pPr>
            <w:r w:rsidRPr="006E6EDC">
              <w:rPr>
                <w:b/>
                <w:sz w:val="24"/>
                <w:szCs w:val="24"/>
              </w:rPr>
              <w:t xml:space="preserve">ISSUE / TITLE </w:t>
            </w:r>
          </w:p>
        </w:tc>
        <w:tc>
          <w:tcPr>
            <w:tcW w:w="9824" w:type="dxa"/>
            <w:shd w:val="clear" w:color="auto" w:fill="D9D9D9" w:themeFill="background1" w:themeFillShade="D9"/>
          </w:tcPr>
          <w:p w:rsidR="00B165DC" w:rsidRPr="006E6EDC" w:rsidRDefault="00B165DC" w:rsidP="00B165DC">
            <w:pPr>
              <w:spacing w:before="60" w:after="60"/>
              <w:rPr>
                <w:b/>
                <w:sz w:val="24"/>
                <w:szCs w:val="24"/>
              </w:rPr>
            </w:pPr>
            <w:r w:rsidRPr="006E6EDC">
              <w:rPr>
                <w:b/>
                <w:sz w:val="24"/>
                <w:szCs w:val="24"/>
              </w:rPr>
              <w:t>CONTENT SUMMARY</w:t>
            </w:r>
          </w:p>
        </w:tc>
      </w:tr>
      <w:tr w:rsidR="006E6EDC" w:rsidRPr="006E6EDC" w:rsidTr="00B165DC">
        <w:tc>
          <w:tcPr>
            <w:tcW w:w="1361" w:type="dxa"/>
          </w:tcPr>
          <w:p w:rsidR="00AD366A" w:rsidRPr="006E6EDC" w:rsidRDefault="00AD366A" w:rsidP="00AD366A">
            <w:pPr>
              <w:spacing w:before="120" w:after="120"/>
              <w:jc w:val="both"/>
              <w:rPr>
                <w:b/>
                <w:bCs/>
              </w:rPr>
            </w:pPr>
            <w:r w:rsidRPr="006E6EDC">
              <w:rPr>
                <w:b/>
                <w:bCs/>
              </w:rPr>
              <w:t>Autumn /</w:t>
            </w:r>
          </w:p>
          <w:p w:rsidR="00AD366A" w:rsidRPr="006E6EDC" w:rsidRDefault="00AD366A" w:rsidP="00AD366A">
            <w:pPr>
              <w:spacing w:before="120" w:after="120"/>
              <w:jc w:val="both"/>
            </w:pPr>
            <w:r w:rsidRPr="006E6EDC">
              <w:rPr>
                <w:b/>
                <w:bCs/>
              </w:rPr>
              <w:t>May 2013</w:t>
            </w:r>
          </w:p>
          <w:p w:rsidR="00AD366A" w:rsidRPr="006E6EDC" w:rsidRDefault="00AD366A" w:rsidP="00AD366A">
            <w:pPr>
              <w:spacing w:before="120"/>
              <w:jc w:val="both"/>
              <w:rPr>
                <w:b/>
                <w:bCs/>
              </w:rPr>
            </w:pPr>
            <w:r w:rsidRPr="006E6EDC">
              <w:rPr>
                <w:b/>
                <w:bCs/>
              </w:rPr>
              <w:t>No. 6</w:t>
            </w:r>
          </w:p>
          <w:p w:rsidR="00AD366A" w:rsidRPr="006E6EDC" w:rsidRDefault="00AD366A" w:rsidP="00AD366A">
            <w:pPr>
              <w:spacing w:before="120"/>
              <w:jc w:val="both"/>
            </w:pPr>
          </w:p>
        </w:tc>
        <w:tc>
          <w:tcPr>
            <w:tcW w:w="3792" w:type="dxa"/>
          </w:tcPr>
          <w:p w:rsidR="00AD366A" w:rsidRPr="006E6EDC" w:rsidRDefault="00AD366A" w:rsidP="0074319B">
            <w:pPr>
              <w:pStyle w:val="ListParagraph"/>
              <w:numPr>
                <w:ilvl w:val="0"/>
                <w:numId w:val="8"/>
              </w:numPr>
              <w:autoSpaceDE w:val="0"/>
              <w:autoSpaceDN w:val="0"/>
              <w:adjustRightInd w:val="0"/>
              <w:spacing w:before="120"/>
              <w:ind w:left="340"/>
              <w:jc w:val="both"/>
              <w:rPr>
                <w:rFonts w:ascii="Arial" w:hAnsi="Arial" w:cs="Arial"/>
                <w:b/>
                <w:sz w:val="20"/>
                <w:szCs w:val="20"/>
              </w:rPr>
            </w:pPr>
            <w:r w:rsidRPr="006E6EDC">
              <w:rPr>
                <w:rFonts w:ascii="Arial" w:hAnsi="Arial" w:cs="Arial"/>
                <w:b/>
                <w:sz w:val="20"/>
                <w:szCs w:val="20"/>
              </w:rPr>
              <w:t>High alert after more fraud attempts</w:t>
            </w:r>
          </w:p>
          <w:p w:rsidR="00AD366A" w:rsidRPr="006E6EDC" w:rsidRDefault="00AD366A" w:rsidP="00AD366A">
            <w:pPr>
              <w:pStyle w:val="ListParagraph"/>
              <w:autoSpaceDE w:val="0"/>
              <w:autoSpaceDN w:val="0"/>
              <w:adjustRightInd w:val="0"/>
              <w:ind w:left="340"/>
              <w:jc w:val="both"/>
              <w:rPr>
                <w:rFonts w:ascii="Arial" w:hAnsi="Arial" w:cs="Arial"/>
                <w:b/>
                <w:sz w:val="20"/>
                <w:szCs w:val="20"/>
              </w:rPr>
            </w:pPr>
          </w:p>
          <w:p w:rsidR="00AD366A" w:rsidRPr="006E6EDC" w:rsidRDefault="00AD366A" w:rsidP="0074319B">
            <w:pPr>
              <w:pStyle w:val="ListParagraph"/>
              <w:numPr>
                <w:ilvl w:val="0"/>
                <w:numId w:val="8"/>
              </w:numPr>
              <w:autoSpaceDE w:val="0"/>
              <w:autoSpaceDN w:val="0"/>
              <w:adjustRightInd w:val="0"/>
              <w:ind w:left="340"/>
              <w:jc w:val="both"/>
              <w:rPr>
                <w:rFonts w:ascii="Arial" w:hAnsi="Arial" w:cs="Arial"/>
                <w:b/>
                <w:sz w:val="20"/>
                <w:szCs w:val="20"/>
              </w:rPr>
            </w:pPr>
            <w:r w:rsidRPr="006E6EDC">
              <w:rPr>
                <w:rFonts w:ascii="Arial" w:hAnsi="Arial" w:cs="Arial"/>
                <w:b/>
                <w:sz w:val="20"/>
                <w:szCs w:val="20"/>
              </w:rPr>
              <w:t>Sales reps as independent contractors</w:t>
            </w:r>
          </w:p>
          <w:p w:rsidR="00AD366A" w:rsidRPr="006E6EDC" w:rsidRDefault="00AD366A" w:rsidP="00AD366A">
            <w:pPr>
              <w:autoSpaceDE w:val="0"/>
              <w:autoSpaceDN w:val="0"/>
              <w:adjustRightInd w:val="0"/>
              <w:ind w:left="340"/>
              <w:jc w:val="both"/>
              <w:rPr>
                <w:rFonts w:ascii="Arial" w:hAnsi="Arial" w:cs="Arial"/>
                <w:b/>
                <w:sz w:val="20"/>
                <w:szCs w:val="20"/>
              </w:rPr>
            </w:pPr>
          </w:p>
          <w:p w:rsidR="00AD366A" w:rsidRPr="006E6EDC" w:rsidRDefault="00AD366A" w:rsidP="0074319B">
            <w:pPr>
              <w:pStyle w:val="ListParagraph"/>
              <w:numPr>
                <w:ilvl w:val="0"/>
                <w:numId w:val="8"/>
              </w:numPr>
              <w:autoSpaceDE w:val="0"/>
              <w:autoSpaceDN w:val="0"/>
              <w:adjustRightInd w:val="0"/>
              <w:ind w:left="340"/>
              <w:jc w:val="both"/>
              <w:rPr>
                <w:rFonts w:ascii="Arial" w:hAnsi="Arial" w:cs="Arial"/>
                <w:b/>
                <w:sz w:val="20"/>
                <w:szCs w:val="20"/>
              </w:rPr>
            </w:pPr>
            <w:r w:rsidRPr="006E6EDC">
              <w:rPr>
                <w:rFonts w:ascii="Arial" w:hAnsi="Arial" w:cs="Arial"/>
                <w:b/>
                <w:sz w:val="20"/>
                <w:szCs w:val="20"/>
              </w:rPr>
              <w:t>Fine for real estate salesman using fake registration</w:t>
            </w:r>
          </w:p>
          <w:p w:rsidR="00AD366A" w:rsidRPr="006E6EDC" w:rsidRDefault="00AD366A" w:rsidP="00AD366A">
            <w:pPr>
              <w:autoSpaceDE w:val="0"/>
              <w:autoSpaceDN w:val="0"/>
              <w:adjustRightInd w:val="0"/>
              <w:ind w:left="340"/>
              <w:jc w:val="both"/>
              <w:rPr>
                <w:rFonts w:ascii="Arial" w:hAnsi="Arial" w:cs="Arial"/>
                <w:b/>
                <w:sz w:val="20"/>
                <w:szCs w:val="20"/>
              </w:rPr>
            </w:pPr>
          </w:p>
          <w:p w:rsidR="00AD366A" w:rsidRPr="006E6EDC" w:rsidRDefault="00AD366A" w:rsidP="0074319B">
            <w:pPr>
              <w:pStyle w:val="ListParagraph"/>
              <w:numPr>
                <w:ilvl w:val="0"/>
                <w:numId w:val="8"/>
              </w:numPr>
              <w:autoSpaceDE w:val="0"/>
              <w:autoSpaceDN w:val="0"/>
              <w:adjustRightInd w:val="0"/>
              <w:ind w:left="340"/>
              <w:jc w:val="both"/>
              <w:rPr>
                <w:rFonts w:ascii="Arial" w:hAnsi="Arial" w:cs="Arial"/>
                <w:b/>
                <w:sz w:val="20"/>
                <w:szCs w:val="20"/>
              </w:rPr>
            </w:pPr>
            <w:r w:rsidRPr="006E6EDC">
              <w:rPr>
                <w:rFonts w:ascii="Arial" w:hAnsi="Arial" w:cs="Arial"/>
                <w:b/>
                <w:sz w:val="20"/>
                <w:szCs w:val="20"/>
              </w:rPr>
              <w:t>The Code of Conduct: Article 18</w:t>
            </w:r>
          </w:p>
          <w:p w:rsidR="00AD366A" w:rsidRPr="006E6EDC" w:rsidRDefault="00AD366A" w:rsidP="00AD366A">
            <w:pPr>
              <w:autoSpaceDE w:val="0"/>
              <w:autoSpaceDN w:val="0"/>
              <w:adjustRightInd w:val="0"/>
              <w:ind w:left="340"/>
              <w:jc w:val="both"/>
              <w:rPr>
                <w:rFonts w:ascii="Arial" w:hAnsi="Arial" w:cs="Arial"/>
                <w:b/>
                <w:sz w:val="20"/>
                <w:szCs w:val="20"/>
              </w:rPr>
            </w:pPr>
          </w:p>
          <w:p w:rsidR="00AD366A" w:rsidRPr="006E6EDC" w:rsidRDefault="00AD366A" w:rsidP="0074319B">
            <w:pPr>
              <w:pStyle w:val="ListParagraph"/>
              <w:numPr>
                <w:ilvl w:val="0"/>
                <w:numId w:val="8"/>
              </w:numPr>
              <w:autoSpaceDE w:val="0"/>
              <w:autoSpaceDN w:val="0"/>
              <w:adjustRightInd w:val="0"/>
              <w:ind w:left="340"/>
              <w:jc w:val="both"/>
              <w:rPr>
                <w:rFonts w:ascii="Arial" w:hAnsi="Arial" w:cs="Arial"/>
                <w:b/>
                <w:sz w:val="20"/>
                <w:szCs w:val="20"/>
              </w:rPr>
            </w:pPr>
            <w:r w:rsidRPr="006E6EDC">
              <w:rPr>
                <w:rFonts w:ascii="Arial" w:hAnsi="Arial" w:cs="Arial"/>
                <w:b/>
                <w:sz w:val="20"/>
                <w:szCs w:val="20"/>
              </w:rPr>
              <w:t>Option fees</w:t>
            </w:r>
          </w:p>
          <w:p w:rsidR="00AD366A" w:rsidRPr="006E6EDC" w:rsidRDefault="00AD366A" w:rsidP="00AD366A">
            <w:pPr>
              <w:pStyle w:val="ListParagraph"/>
              <w:autoSpaceDE w:val="0"/>
              <w:autoSpaceDN w:val="0"/>
              <w:adjustRightInd w:val="0"/>
              <w:ind w:left="340"/>
              <w:jc w:val="both"/>
              <w:rPr>
                <w:rFonts w:ascii="Arial" w:hAnsi="Arial" w:cs="Arial"/>
                <w:b/>
                <w:sz w:val="20"/>
                <w:szCs w:val="20"/>
              </w:rPr>
            </w:pPr>
          </w:p>
          <w:p w:rsidR="00AD366A" w:rsidRPr="006E6EDC" w:rsidRDefault="00AD366A" w:rsidP="0074319B">
            <w:pPr>
              <w:pStyle w:val="ListParagraph"/>
              <w:numPr>
                <w:ilvl w:val="0"/>
                <w:numId w:val="8"/>
              </w:numPr>
              <w:autoSpaceDE w:val="0"/>
              <w:autoSpaceDN w:val="0"/>
              <w:adjustRightInd w:val="0"/>
              <w:ind w:left="340"/>
              <w:jc w:val="both"/>
              <w:rPr>
                <w:rFonts w:ascii="Arial" w:hAnsi="Arial" w:cs="Arial"/>
                <w:b/>
                <w:sz w:val="20"/>
                <w:szCs w:val="20"/>
              </w:rPr>
            </w:pPr>
            <w:r w:rsidRPr="006E6EDC">
              <w:rPr>
                <w:rFonts w:ascii="Arial" w:hAnsi="Arial" w:cs="Arial"/>
                <w:b/>
                <w:sz w:val="20"/>
                <w:szCs w:val="20"/>
              </w:rPr>
              <w:t>Property of a deceased estate</w:t>
            </w:r>
          </w:p>
          <w:p w:rsidR="00AD366A" w:rsidRPr="006E6EDC" w:rsidRDefault="00AD366A" w:rsidP="00AD366A">
            <w:pPr>
              <w:pStyle w:val="ListParagraph"/>
              <w:autoSpaceDE w:val="0"/>
              <w:autoSpaceDN w:val="0"/>
              <w:adjustRightInd w:val="0"/>
              <w:ind w:left="340"/>
              <w:jc w:val="both"/>
              <w:rPr>
                <w:rFonts w:ascii="Arial" w:hAnsi="Arial" w:cs="Arial"/>
                <w:b/>
                <w:sz w:val="20"/>
                <w:szCs w:val="20"/>
              </w:rPr>
            </w:pPr>
          </w:p>
          <w:p w:rsidR="00AD366A" w:rsidRPr="006E6EDC" w:rsidRDefault="00AD366A" w:rsidP="0074319B">
            <w:pPr>
              <w:pStyle w:val="ListParagraph"/>
              <w:numPr>
                <w:ilvl w:val="0"/>
                <w:numId w:val="8"/>
              </w:numPr>
              <w:autoSpaceDE w:val="0"/>
              <w:autoSpaceDN w:val="0"/>
              <w:adjustRightInd w:val="0"/>
              <w:ind w:left="340"/>
              <w:jc w:val="both"/>
              <w:rPr>
                <w:rFonts w:ascii="Arial" w:hAnsi="Arial" w:cs="Arial"/>
                <w:b/>
                <w:sz w:val="20"/>
                <w:szCs w:val="20"/>
              </w:rPr>
            </w:pPr>
            <w:r w:rsidRPr="006E6EDC">
              <w:rPr>
                <w:rFonts w:ascii="Arial" w:hAnsi="Arial" w:cs="Arial"/>
                <w:b/>
                <w:sz w:val="20"/>
                <w:szCs w:val="20"/>
              </w:rPr>
              <w:t>Compliance issues regarding advertising</w:t>
            </w:r>
          </w:p>
          <w:p w:rsidR="00AD366A" w:rsidRPr="006E6EDC" w:rsidRDefault="00AD366A" w:rsidP="00AD366A">
            <w:pPr>
              <w:pStyle w:val="ListParagraph"/>
              <w:autoSpaceDE w:val="0"/>
              <w:autoSpaceDN w:val="0"/>
              <w:adjustRightInd w:val="0"/>
              <w:ind w:left="340"/>
              <w:jc w:val="both"/>
              <w:rPr>
                <w:rFonts w:ascii="Arial" w:hAnsi="Arial" w:cs="Arial"/>
                <w:b/>
                <w:sz w:val="20"/>
                <w:szCs w:val="20"/>
              </w:rPr>
            </w:pPr>
          </w:p>
          <w:p w:rsidR="00AD366A" w:rsidRPr="006E6EDC" w:rsidRDefault="00AD366A" w:rsidP="0074319B">
            <w:pPr>
              <w:pStyle w:val="ListParagraph"/>
              <w:numPr>
                <w:ilvl w:val="0"/>
                <w:numId w:val="8"/>
              </w:numPr>
              <w:autoSpaceDE w:val="0"/>
              <w:autoSpaceDN w:val="0"/>
              <w:adjustRightInd w:val="0"/>
              <w:ind w:left="340"/>
              <w:jc w:val="both"/>
              <w:rPr>
                <w:rFonts w:ascii="Arial" w:hAnsi="Arial" w:cs="Arial"/>
                <w:b/>
                <w:sz w:val="20"/>
                <w:szCs w:val="20"/>
              </w:rPr>
            </w:pPr>
            <w:r w:rsidRPr="006E6EDC">
              <w:rPr>
                <w:rFonts w:ascii="Arial" w:hAnsi="Arial" w:cs="Arial"/>
                <w:b/>
                <w:sz w:val="20"/>
                <w:szCs w:val="20"/>
              </w:rPr>
              <w:t>Rent to buy</w:t>
            </w:r>
          </w:p>
          <w:p w:rsidR="00AD366A" w:rsidRPr="006E6EDC" w:rsidRDefault="00AD366A" w:rsidP="00AD366A">
            <w:pPr>
              <w:pStyle w:val="ListParagraph"/>
              <w:tabs>
                <w:tab w:val="right" w:pos="2540"/>
              </w:tabs>
              <w:ind w:left="340" w:right="-16"/>
              <w:jc w:val="both"/>
              <w:rPr>
                <w:rFonts w:cstheme="minorHAnsi"/>
                <w:b/>
              </w:rPr>
            </w:pPr>
          </w:p>
          <w:p w:rsidR="00AD366A" w:rsidRPr="006E6EDC" w:rsidRDefault="00AD366A" w:rsidP="00AD366A">
            <w:pPr>
              <w:tabs>
                <w:tab w:val="right" w:pos="2540"/>
              </w:tabs>
              <w:spacing w:before="120" w:after="120"/>
              <w:ind w:right="-16"/>
              <w:jc w:val="both"/>
              <w:rPr>
                <w:rFonts w:cstheme="minorHAnsi"/>
                <w:b/>
              </w:rPr>
            </w:pPr>
          </w:p>
        </w:tc>
        <w:tc>
          <w:tcPr>
            <w:tcW w:w="9824" w:type="dxa"/>
          </w:tcPr>
          <w:p w:rsidR="00AD366A" w:rsidRPr="006E6EDC" w:rsidRDefault="00AD366A" w:rsidP="0074319B">
            <w:pPr>
              <w:pStyle w:val="ListParagraph"/>
              <w:numPr>
                <w:ilvl w:val="0"/>
                <w:numId w:val="9"/>
              </w:numPr>
              <w:spacing w:before="120"/>
              <w:ind w:left="376"/>
              <w:jc w:val="both"/>
              <w:rPr>
                <w:rFonts w:ascii="Arial" w:hAnsi="Arial" w:cs="Arial"/>
                <w:sz w:val="20"/>
                <w:szCs w:val="20"/>
              </w:rPr>
            </w:pPr>
            <w:r w:rsidRPr="006E6EDC">
              <w:rPr>
                <w:rFonts w:ascii="Arial" w:hAnsi="Arial" w:cs="Arial"/>
                <w:sz w:val="20"/>
                <w:szCs w:val="20"/>
              </w:rPr>
              <w:t>The property industry in WA has been warned to remain on high alert after recent attempts by overseas criminals to fraudulently sell two Perth hom</w:t>
            </w:r>
            <w:r w:rsidR="0007511E" w:rsidRPr="006E6EDC">
              <w:rPr>
                <w:rFonts w:ascii="Arial" w:hAnsi="Arial" w:cs="Arial"/>
                <w:sz w:val="20"/>
                <w:szCs w:val="20"/>
              </w:rPr>
              <w:t>es.  In separate incidents, real estate agents were approached by fraudsters who successfully changed the contact details of the true owners of the tenanted properties. In both cases, the true owners were residing in South Africa. Copies of documents related to the management of the properties were sent to the fake owners by the agents in both cases. Requests to sell the two properties, valued at $700,000 and $800,000, soon followed</w:t>
            </w:r>
            <w:r w:rsidRPr="006E6EDC">
              <w:rPr>
                <w:rFonts w:ascii="Arial" w:hAnsi="Arial" w:cs="Arial"/>
                <w:sz w:val="20"/>
                <w:szCs w:val="20"/>
              </w:rPr>
              <w:t>.</w:t>
            </w:r>
          </w:p>
          <w:p w:rsidR="00AD366A" w:rsidRPr="006E6EDC" w:rsidRDefault="00AD366A" w:rsidP="0007511E">
            <w:pPr>
              <w:pStyle w:val="Default"/>
              <w:jc w:val="both"/>
              <w:rPr>
                <w:rFonts w:ascii="Arial" w:hAnsi="Arial" w:cs="Arial"/>
                <w:color w:val="auto"/>
                <w:sz w:val="20"/>
                <w:szCs w:val="20"/>
              </w:rPr>
            </w:pPr>
          </w:p>
          <w:p w:rsidR="0007511E" w:rsidRPr="006E6EDC" w:rsidRDefault="0007511E" w:rsidP="0074319B">
            <w:pPr>
              <w:pStyle w:val="ListParagraph"/>
              <w:numPr>
                <w:ilvl w:val="0"/>
                <w:numId w:val="9"/>
              </w:numPr>
              <w:ind w:left="376"/>
              <w:jc w:val="both"/>
              <w:rPr>
                <w:rFonts w:ascii="Arial" w:hAnsi="Arial" w:cs="Arial"/>
                <w:sz w:val="20"/>
                <w:szCs w:val="20"/>
              </w:rPr>
            </w:pPr>
            <w:r w:rsidRPr="006E6EDC">
              <w:rPr>
                <w:rFonts w:ascii="Arial" w:hAnsi="Arial" w:cs="Arial"/>
                <w:sz w:val="20"/>
                <w:szCs w:val="20"/>
              </w:rPr>
              <w:t>Department remind</w:t>
            </w:r>
            <w:r w:rsidR="006826EA" w:rsidRPr="006E6EDC">
              <w:rPr>
                <w:rFonts w:ascii="Arial" w:hAnsi="Arial" w:cs="Arial"/>
                <w:sz w:val="20"/>
                <w:szCs w:val="20"/>
              </w:rPr>
              <w:t>s</w:t>
            </w:r>
            <w:r w:rsidRPr="006E6EDC">
              <w:rPr>
                <w:rFonts w:ascii="Arial" w:hAnsi="Arial" w:cs="Arial"/>
                <w:sz w:val="20"/>
                <w:szCs w:val="20"/>
              </w:rPr>
              <w:t xml:space="preserve"> industry members that sales representatives cannot be enga</w:t>
            </w:r>
            <w:r w:rsidR="009F03AB" w:rsidRPr="006E6EDC">
              <w:rPr>
                <w:rFonts w:ascii="Arial" w:hAnsi="Arial" w:cs="Arial"/>
                <w:sz w:val="20"/>
                <w:szCs w:val="20"/>
              </w:rPr>
              <w:t xml:space="preserve">ged as independent contractors, </w:t>
            </w:r>
            <w:r w:rsidRPr="006E6EDC">
              <w:rPr>
                <w:rFonts w:ascii="Arial" w:hAnsi="Arial" w:cs="Arial"/>
                <w:sz w:val="20"/>
                <w:szCs w:val="20"/>
              </w:rPr>
              <w:t xml:space="preserve">nor can they be engaged from another contractor who employs the sales representative (sometimes referred to as the ‘ODCO’ system).  Employment related payments to a sales representative must be made to a natural person, not an entity. </w:t>
            </w:r>
          </w:p>
          <w:p w:rsidR="0007511E" w:rsidRPr="006E6EDC" w:rsidRDefault="0007511E" w:rsidP="0007511E">
            <w:pPr>
              <w:ind w:left="376"/>
              <w:jc w:val="both"/>
              <w:rPr>
                <w:rFonts w:ascii="Arial" w:hAnsi="Arial" w:cs="Arial"/>
                <w:sz w:val="20"/>
                <w:szCs w:val="20"/>
              </w:rPr>
            </w:pPr>
          </w:p>
          <w:p w:rsidR="0007511E" w:rsidRPr="006E6EDC" w:rsidRDefault="0007511E" w:rsidP="0074319B">
            <w:pPr>
              <w:pStyle w:val="ListParagraph"/>
              <w:numPr>
                <w:ilvl w:val="0"/>
                <w:numId w:val="9"/>
              </w:numPr>
              <w:autoSpaceDE w:val="0"/>
              <w:autoSpaceDN w:val="0"/>
              <w:adjustRightInd w:val="0"/>
              <w:ind w:left="376"/>
              <w:jc w:val="both"/>
              <w:rPr>
                <w:rFonts w:ascii="Arial" w:hAnsi="Arial" w:cs="Arial"/>
                <w:sz w:val="20"/>
                <w:szCs w:val="20"/>
              </w:rPr>
            </w:pPr>
            <w:r w:rsidRPr="006E6EDC">
              <w:rPr>
                <w:rFonts w:ascii="Arial" w:hAnsi="Arial" w:cs="Arial"/>
                <w:sz w:val="20"/>
                <w:szCs w:val="20"/>
              </w:rPr>
              <w:t>A real estate salesman</w:t>
            </w:r>
            <w:r w:rsidR="007F11E5">
              <w:rPr>
                <w:rFonts w:ascii="Arial" w:hAnsi="Arial" w:cs="Arial"/>
                <w:sz w:val="20"/>
                <w:szCs w:val="20"/>
              </w:rPr>
              <w:t>,</w:t>
            </w:r>
            <w:r w:rsidR="007F11E5" w:rsidRPr="006E6EDC">
              <w:rPr>
                <w:rFonts w:ascii="Arial" w:hAnsi="Arial" w:cs="Arial"/>
                <w:sz w:val="20"/>
                <w:szCs w:val="20"/>
              </w:rPr>
              <w:t xml:space="preserve"> David Paul Gammal </w:t>
            </w:r>
            <w:r w:rsidRPr="006E6EDC">
              <w:rPr>
                <w:rFonts w:ascii="Arial" w:hAnsi="Arial" w:cs="Arial"/>
                <w:sz w:val="20"/>
                <w:szCs w:val="20"/>
              </w:rPr>
              <w:t xml:space="preserve">was recently fined $1,000 and ordered to pay costs of $748 by the Perth Magistrates Court for selling properties without a current certificate of registration.  </w:t>
            </w:r>
            <w:r w:rsidR="007F11E5">
              <w:rPr>
                <w:rFonts w:ascii="Arial" w:hAnsi="Arial" w:cs="Arial"/>
                <w:sz w:val="20"/>
                <w:szCs w:val="20"/>
              </w:rPr>
              <w:t xml:space="preserve">He </w:t>
            </w:r>
            <w:r w:rsidRPr="006E6EDC">
              <w:rPr>
                <w:rFonts w:ascii="Arial" w:hAnsi="Arial" w:cs="Arial"/>
                <w:sz w:val="20"/>
                <w:szCs w:val="20"/>
              </w:rPr>
              <w:t xml:space="preserve">sold or leased at least nine properties while working for a city real estate agency between March and November 2011.  </w:t>
            </w:r>
            <w:r w:rsidR="007F11E5">
              <w:rPr>
                <w:rFonts w:ascii="Arial" w:hAnsi="Arial" w:cs="Arial"/>
                <w:sz w:val="20"/>
                <w:szCs w:val="20"/>
              </w:rPr>
              <w:t>C</w:t>
            </w:r>
            <w:r w:rsidRPr="006E6EDC">
              <w:rPr>
                <w:rFonts w:ascii="Arial" w:hAnsi="Arial" w:cs="Arial"/>
                <w:sz w:val="20"/>
                <w:szCs w:val="20"/>
              </w:rPr>
              <w:t>ertificate of registration had expired in February 2010, but he had altered the date on the certificate when he began working for the agency in March 2011.</w:t>
            </w:r>
          </w:p>
          <w:p w:rsidR="006826EA" w:rsidRPr="006E6EDC" w:rsidRDefault="006826EA" w:rsidP="006826EA">
            <w:pPr>
              <w:pStyle w:val="ListParagraph"/>
              <w:rPr>
                <w:rFonts w:ascii="Arial" w:hAnsi="Arial" w:cs="Arial"/>
                <w:sz w:val="20"/>
                <w:szCs w:val="20"/>
              </w:rPr>
            </w:pPr>
          </w:p>
          <w:p w:rsidR="006826EA" w:rsidRPr="006E6EDC" w:rsidRDefault="006826EA" w:rsidP="0074319B">
            <w:pPr>
              <w:pStyle w:val="ListParagraph"/>
              <w:numPr>
                <w:ilvl w:val="0"/>
                <w:numId w:val="9"/>
              </w:numPr>
              <w:autoSpaceDE w:val="0"/>
              <w:autoSpaceDN w:val="0"/>
              <w:adjustRightInd w:val="0"/>
              <w:ind w:left="376"/>
              <w:jc w:val="both"/>
              <w:rPr>
                <w:rFonts w:ascii="Arial" w:hAnsi="Arial" w:cs="Arial"/>
                <w:sz w:val="20"/>
                <w:szCs w:val="20"/>
              </w:rPr>
            </w:pPr>
            <w:r w:rsidRPr="006E6EDC">
              <w:rPr>
                <w:rFonts w:ascii="Arial" w:hAnsi="Arial" w:cs="Arial"/>
                <w:sz w:val="20"/>
                <w:szCs w:val="20"/>
              </w:rPr>
              <w:t>What does Article 18 of the Code of Conduct for Agents and Sales Representatives 2011 mean for your agency?</w:t>
            </w:r>
          </w:p>
          <w:p w:rsidR="0007511E" w:rsidRPr="006E6EDC" w:rsidRDefault="0007511E" w:rsidP="0007511E">
            <w:pPr>
              <w:autoSpaceDE w:val="0"/>
              <w:autoSpaceDN w:val="0"/>
              <w:adjustRightInd w:val="0"/>
              <w:ind w:left="376"/>
              <w:rPr>
                <w:rFonts w:ascii="Arial" w:hAnsi="Arial" w:cs="Arial"/>
                <w:sz w:val="20"/>
                <w:szCs w:val="20"/>
              </w:rPr>
            </w:pPr>
          </w:p>
          <w:p w:rsidR="006826EA" w:rsidRPr="006E6EDC" w:rsidRDefault="006826EA" w:rsidP="0074319B">
            <w:pPr>
              <w:pStyle w:val="ListParagraph"/>
              <w:numPr>
                <w:ilvl w:val="0"/>
                <w:numId w:val="9"/>
              </w:numPr>
              <w:autoSpaceDE w:val="0"/>
              <w:autoSpaceDN w:val="0"/>
              <w:adjustRightInd w:val="0"/>
              <w:ind w:left="376"/>
              <w:jc w:val="both"/>
              <w:rPr>
                <w:rFonts w:ascii="Arial" w:hAnsi="Arial" w:cs="Arial"/>
                <w:sz w:val="20"/>
                <w:szCs w:val="20"/>
              </w:rPr>
            </w:pPr>
            <w:r w:rsidRPr="006E6EDC">
              <w:rPr>
                <w:rFonts w:ascii="Arial" w:hAnsi="Arial" w:cs="Arial"/>
                <w:i/>
                <w:iCs/>
                <w:sz w:val="20"/>
                <w:szCs w:val="20"/>
              </w:rPr>
              <w:t xml:space="preserve">Residential Tenancy Amendment Act 2011 </w:t>
            </w:r>
            <w:r w:rsidRPr="006E6EDC">
              <w:rPr>
                <w:rFonts w:ascii="Arial" w:hAnsi="Arial" w:cs="Arial"/>
                <w:sz w:val="20"/>
                <w:szCs w:val="20"/>
              </w:rPr>
              <w:t>(Amendment Act), which takes effect 1 July 2013, provides that a person may not charge a prospective tenant more than the prescribed amount for an option fee. Subject to the Minister for Commerce’s approval, the maximum amount of an option fee will be prescribed in the Residential Tenancies Regulations (The Regulations).  The Regulations (and the prescribed lease form) are available from the State Law Publisher and Department website</w:t>
            </w:r>
            <w:r w:rsidR="009C5164" w:rsidRPr="006E6EDC">
              <w:rPr>
                <w:rFonts w:ascii="Arial" w:hAnsi="Arial" w:cs="Arial"/>
                <w:sz w:val="20"/>
                <w:szCs w:val="20"/>
              </w:rPr>
              <w:t>.</w:t>
            </w:r>
            <w:r w:rsidRPr="006E6EDC">
              <w:rPr>
                <w:rFonts w:ascii="Arial" w:hAnsi="Arial" w:cs="Arial"/>
                <w:sz w:val="20"/>
                <w:szCs w:val="20"/>
              </w:rPr>
              <w:t xml:space="preserve"> </w:t>
            </w:r>
            <w:r w:rsidR="009C5164" w:rsidRPr="006E6EDC">
              <w:rPr>
                <w:rFonts w:ascii="Arial" w:hAnsi="Arial" w:cs="Arial"/>
                <w:sz w:val="20"/>
                <w:szCs w:val="20"/>
              </w:rPr>
              <w:t xml:space="preserve"> </w:t>
            </w:r>
            <w:r w:rsidRPr="006E6EDC">
              <w:rPr>
                <w:rFonts w:ascii="Arial" w:hAnsi="Arial" w:cs="Arial"/>
                <w:sz w:val="20"/>
                <w:szCs w:val="20"/>
              </w:rPr>
              <w:t>The lease form is also available from the Department’s website (1AAResidentialTenancyAgreement.pdf).</w:t>
            </w:r>
          </w:p>
          <w:p w:rsidR="0007511E" w:rsidRPr="006E6EDC" w:rsidRDefault="0007511E" w:rsidP="0007511E">
            <w:pPr>
              <w:ind w:left="-360"/>
              <w:jc w:val="both"/>
              <w:rPr>
                <w:rFonts w:ascii="Arial" w:hAnsi="Arial" w:cs="Arial"/>
                <w:sz w:val="20"/>
                <w:szCs w:val="20"/>
              </w:rPr>
            </w:pPr>
          </w:p>
          <w:p w:rsidR="006826EA" w:rsidRPr="006E6EDC" w:rsidRDefault="006826EA" w:rsidP="0074319B">
            <w:pPr>
              <w:pStyle w:val="ListParagraph"/>
              <w:numPr>
                <w:ilvl w:val="0"/>
                <w:numId w:val="9"/>
              </w:numPr>
              <w:ind w:left="376"/>
              <w:jc w:val="both"/>
              <w:rPr>
                <w:rFonts w:ascii="Arial" w:hAnsi="Arial" w:cs="Arial"/>
                <w:sz w:val="20"/>
                <w:szCs w:val="20"/>
              </w:rPr>
            </w:pPr>
            <w:r w:rsidRPr="006E6EDC">
              <w:rPr>
                <w:rFonts w:ascii="Arial" w:hAnsi="Arial" w:cs="Arial"/>
                <w:sz w:val="20"/>
                <w:szCs w:val="20"/>
              </w:rPr>
              <w:t xml:space="preserve">Under section 60 of the </w:t>
            </w:r>
            <w:r w:rsidRPr="006E6EDC">
              <w:rPr>
                <w:rFonts w:ascii="Arial" w:hAnsi="Arial" w:cs="Arial"/>
                <w:i/>
                <w:iCs/>
                <w:sz w:val="20"/>
                <w:szCs w:val="20"/>
              </w:rPr>
              <w:t>Real Estate and Business Agents Act 1978</w:t>
            </w:r>
            <w:r w:rsidRPr="006E6EDC">
              <w:rPr>
                <w:rFonts w:ascii="Arial" w:hAnsi="Arial" w:cs="Arial"/>
                <w:sz w:val="20"/>
                <w:szCs w:val="20"/>
              </w:rPr>
              <w:t>, an agent is not entitled to a commission unless licensed and validly appointed. Section 60(1)(b) requires that an appointment must be in writing, and signed by the person for whom the services are to be rendered, or some other person who is lawfully authorised to sign on behalf of the person for whom the services are to be rendered.</w:t>
            </w:r>
          </w:p>
          <w:p w:rsidR="00AD366A" w:rsidRPr="006E6EDC" w:rsidRDefault="00AD366A" w:rsidP="00F52074">
            <w:pPr>
              <w:pStyle w:val="Default"/>
              <w:spacing w:after="120"/>
              <w:ind w:left="376"/>
              <w:jc w:val="both"/>
              <w:rPr>
                <w:rFonts w:ascii="Arial" w:hAnsi="Arial" w:cs="Arial"/>
                <w:color w:val="auto"/>
                <w:sz w:val="20"/>
                <w:szCs w:val="20"/>
              </w:rPr>
            </w:pPr>
          </w:p>
        </w:tc>
      </w:tr>
    </w:tbl>
    <w:p w:rsidR="00F52074" w:rsidRPr="006E6EDC" w:rsidRDefault="00F52074"/>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B165DC">
        <w:tc>
          <w:tcPr>
            <w:tcW w:w="1361" w:type="dxa"/>
          </w:tcPr>
          <w:p w:rsidR="00F52074" w:rsidRPr="006E6EDC" w:rsidRDefault="00F52074" w:rsidP="00AD366A">
            <w:pPr>
              <w:spacing w:before="120" w:after="120"/>
              <w:jc w:val="both"/>
              <w:rPr>
                <w:b/>
                <w:bCs/>
              </w:rPr>
            </w:pPr>
          </w:p>
        </w:tc>
        <w:tc>
          <w:tcPr>
            <w:tcW w:w="3792" w:type="dxa"/>
          </w:tcPr>
          <w:p w:rsidR="00F52074" w:rsidRPr="006E6EDC" w:rsidRDefault="00F52074" w:rsidP="00287A27">
            <w:pPr>
              <w:autoSpaceDE w:val="0"/>
              <w:autoSpaceDN w:val="0"/>
              <w:adjustRightInd w:val="0"/>
              <w:spacing w:before="120"/>
              <w:jc w:val="both"/>
              <w:rPr>
                <w:rFonts w:ascii="Arial" w:hAnsi="Arial" w:cs="Arial"/>
                <w:b/>
                <w:sz w:val="20"/>
                <w:szCs w:val="20"/>
              </w:rPr>
            </w:pPr>
          </w:p>
        </w:tc>
        <w:tc>
          <w:tcPr>
            <w:tcW w:w="9824" w:type="dxa"/>
          </w:tcPr>
          <w:p w:rsidR="00F52074" w:rsidRPr="006E6EDC" w:rsidRDefault="00F52074" w:rsidP="00F52074">
            <w:pPr>
              <w:jc w:val="both"/>
              <w:rPr>
                <w:rFonts w:ascii="Arial" w:hAnsi="Arial" w:cs="Arial"/>
                <w:sz w:val="20"/>
                <w:szCs w:val="20"/>
              </w:rPr>
            </w:pPr>
          </w:p>
          <w:p w:rsidR="00F52074" w:rsidRPr="006E6EDC" w:rsidRDefault="00F52074" w:rsidP="0074319B">
            <w:pPr>
              <w:pStyle w:val="Default"/>
              <w:numPr>
                <w:ilvl w:val="0"/>
                <w:numId w:val="9"/>
              </w:numPr>
              <w:ind w:left="376"/>
              <w:jc w:val="both"/>
              <w:rPr>
                <w:rFonts w:ascii="Arial" w:hAnsi="Arial" w:cs="Arial"/>
                <w:color w:val="auto"/>
                <w:sz w:val="20"/>
                <w:szCs w:val="20"/>
              </w:rPr>
            </w:pPr>
            <w:r w:rsidRPr="006E6EDC">
              <w:rPr>
                <w:rFonts w:ascii="Arial" w:hAnsi="Arial" w:cs="Arial"/>
                <w:color w:val="auto"/>
                <w:sz w:val="20"/>
                <w:szCs w:val="20"/>
              </w:rPr>
              <w:t>Advertising (in relation to the sale of residential properties) is a major area of investigation by the Department. Agents need to be aware of the requirements for accuracy in specifying the details of properties, and the risk of breaching both the Australian Consumer Law (WA) (the ACL) and the Code of Conduct for Agents and Sales Representatives 2011 (the Code of Conduct).</w:t>
            </w:r>
          </w:p>
          <w:p w:rsidR="00F52074" w:rsidRPr="006E6EDC" w:rsidRDefault="00F52074" w:rsidP="00F52074">
            <w:pPr>
              <w:pStyle w:val="Default"/>
              <w:jc w:val="both"/>
              <w:rPr>
                <w:rFonts w:ascii="Arial" w:hAnsi="Arial" w:cs="Arial"/>
                <w:color w:val="auto"/>
                <w:sz w:val="20"/>
                <w:szCs w:val="20"/>
              </w:rPr>
            </w:pPr>
          </w:p>
          <w:p w:rsidR="00F52074" w:rsidRPr="006E6EDC" w:rsidRDefault="00F52074" w:rsidP="0074319B">
            <w:pPr>
              <w:pStyle w:val="ListParagraph"/>
              <w:numPr>
                <w:ilvl w:val="0"/>
                <w:numId w:val="9"/>
              </w:numPr>
              <w:spacing w:before="120" w:after="100" w:afterAutospacing="1"/>
              <w:ind w:left="376"/>
              <w:jc w:val="both"/>
              <w:rPr>
                <w:rFonts w:ascii="Arial" w:hAnsi="Arial" w:cs="Arial"/>
                <w:sz w:val="20"/>
                <w:szCs w:val="20"/>
              </w:rPr>
            </w:pPr>
            <w:r w:rsidRPr="006E6EDC">
              <w:rPr>
                <w:rFonts w:ascii="Arial" w:hAnsi="Arial" w:cs="Arial"/>
                <w:sz w:val="20"/>
                <w:szCs w:val="20"/>
              </w:rPr>
              <w:t xml:space="preserve">Consumer Protection has recently lodged a Supreme Court Writ against the promoter of a rent-tobuy property scheme, alleging the company and its Director misled consumers.  While the article is primarily aimed at consumers, agents who conduct or assist rent-tobuy schemes may potentially breach sections 60(3), 61(4) and 68(4) of the </w:t>
            </w:r>
            <w:r w:rsidRPr="006E6EDC">
              <w:rPr>
                <w:rFonts w:ascii="Arial" w:hAnsi="Arial" w:cs="Arial"/>
                <w:i/>
                <w:iCs/>
                <w:sz w:val="20"/>
                <w:szCs w:val="20"/>
              </w:rPr>
              <w:t xml:space="preserve">Real Estate and Business Agents Act 1978 </w:t>
            </w:r>
            <w:r w:rsidRPr="006E6EDC">
              <w:rPr>
                <w:rFonts w:ascii="Arial" w:hAnsi="Arial" w:cs="Arial"/>
                <w:sz w:val="20"/>
                <w:szCs w:val="20"/>
              </w:rPr>
              <w:t xml:space="preserve">and the Code of Conduct for Agents and Sales Representatives 2011.  </w:t>
            </w:r>
          </w:p>
        </w:tc>
      </w:tr>
    </w:tbl>
    <w:p w:rsidR="009F03AB" w:rsidRPr="006E6EDC" w:rsidRDefault="009F03AB" w:rsidP="003D5CAC">
      <w:pPr>
        <w:spacing w:after="0"/>
        <w:ind w:left="-426"/>
        <w:jc w:val="both"/>
        <w:rPr>
          <w:rFonts w:ascii="Arial" w:hAnsi="Arial" w:cs="Arial"/>
          <w:sz w:val="20"/>
          <w:szCs w:val="20"/>
        </w:rPr>
      </w:pPr>
    </w:p>
    <w:p w:rsidR="009F03AB" w:rsidRPr="006E6EDC" w:rsidRDefault="009F03AB">
      <w:pPr>
        <w:rPr>
          <w:rFonts w:ascii="Arial" w:hAnsi="Arial" w:cs="Arial"/>
          <w:sz w:val="20"/>
          <w:szCs w:val="20"/>
        </w:rPr>
      </w:pPr>
      <w:r w:rsidRPr="006E6EDC">
        <w:rPr>
          <w:rFonts w:ascii="Arial" w:hAnsi="Arial" w:cs="Arial"/>
          <w:sz w:val="20"/>
          <w:szCs w:val="20"/>
        </w:rPr>
        <w:br w:type="page"/>
      </w:r>
    </w:p>
    <w:p w:rsidR="00707CA6" w:rsidRPr="006E6EDC" w:rsidRDefault="00707CA6" w:rsidP="003D5CAC">
      <w:pPr>
        <w:spacing w:after="0"/>
        <w:ind w:left="-426"/>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164B2D">
        <w:tc>
          <w:tcPr>
            <w:tcW w:w="1361" w:type="dxa"/>
            <w:shd w:val="clear" w:color="auto" w:fill="D9D9D9" w:themeFill="background1" w:themeFillShade="D9"/>
          </w:tcPr>
          <w:p w:rsidR="00D60498" w:rsidRPr="006E6EDC" w:rsidRDefault="00D60498" w:rsidP="00164B2D">
            <w:pPr>
              <w:spacing w:before="60" w:after="60"/>
              <w:rPr>
                <w:b/>
                <w:sz w:val="24"/>
                <w:szCs w:val="24"/>
              </w:rPr>
            </w:pPr>
            <w:r w:rsidRPr="006E6EDC">
              <w:rPr>
                <w:b/>
                <w:sz w:val="24"/>
                <w:szCs w:val="24"/>
              </w:rPr>
              <w:t>DATE / NO.</w:t>
            </w:r>
          </w:p>
        </w:tc>
        <w:tc>
          <w:tcPr>
            <w:tcW w:w="3792" w:type="dxa"/>
            <w:shd w:val="clear" w:color="auto" w:fill="D9D9D9" w:themeFill="background1" w:themeFillShade="D9"/>
          </w:tcPr>
          <w:p w:rsidR="00D60498" w:rsidRPr="006E6EDC" w:rsidRDefault="00D60498" w:rsidP="00164B2D">
            <w:pPr>
              <w:spacing w:before="60" w:after="60"/>
              <w:rPr>
                <w:b/>
                <w:sz w:val="24"/>
                <w:szCs w:val="24"/>
              </w:rPr>
            </w:pPr>
            <w:r w:rsidRPr="006E6EDC">
              <w:rPr>
                <w:b/>
                <w:sz w:val="24"/>
                <w:szCs w:val="24"/>
              </w:rPr>
              <w:t xml:space="preserve">ISSUE / TITLE </w:t>
            </w:r>
          </w:p>
        </w:tc>
        <w:tc>
          <w:tcPr>
            <w:tcW w:w="9824" w:type="dxa"/>
            <w:shd w:val="clear" w:color="auto" w:fill="D9D9D9" w:themeFill="background1" w:themeFillShade="D9"/>
          </w:tcPr>
          <w:p w:rsidR="00D60498" w:rsidRPr="006E6EDC" w:rsidRDefault="00D60498" w:rsidP="00164B2D">
            <w:pPr>
              <w:spacing w:before="60" w:after="60"/>
              <w:rPr>
                <w:b/>
                <w:sz w:val="24"/>
                <w:szCs w:val="24"/>
              </w:rPr>
            </w:pPr>
            <w:r w:rsidRPr="006E6EDC">
              <w:rPr>
                <w:b/>
                <w:sz w:val="24"/>
                <w:szCs w:val="24"/>
              </w:rPr>
              <w:t>CONTENT SUMMARY</w:t>
            </w:r>
          </w:p>
        </w:tc>
      </w:tr>
      <w:tr w:rsidR="006E6EDC" w:rsidRPr="006E6EDC" w:rsidTr="00D2171D">
        <w:trPr>
          <w:cantSplit/>
          <w:trHeight w:val="1134"/>
        </w:trPr>
        <w:tc>
          <w:tcPr>
            <w:tcW w:w="1361" w:type="dxa"/>
          </w:tcPr>
          <w:p w:rsidR="00473D30" w:rsidRPr="006E6EDC" w:rsidRDefault="008F5AD7" w:rsidP="00473D30">
            <w:pPr>
              <w:spacing w:before="120" w:after="120"/>
              <w:jc w:val="both"/>
            </w:pPr>
            <w:r w:rsidRPr="006E6EDC">
              <w:rPr>
                <w:b/>
                <w:bCs/>
              </w:rPr>
              <w:t xml:space="preserve">January </w:t>
            </w:r>
            <w:r w:rsidR="00473D30" w:rsidRPr="006E6EDC">
              <w:rPr>
                <w:b/>
                <w:bCs/>
              </w:rPr>
              <w:t>2013</w:t>
            </w:r>
          </w:p>
          <w:p w:rsidR="00473D30" w:rsidRPr="006E6EDC" w:rsidRDefault="00473D30" w:rsidP="00473D30">
            <w:pPr>
              <w:spacing w:before="120" w:after="120"/>
              <w:jc w:val="both"/>
              <w:rPr>
                <w:b/>
                <w:bCs/>
              </w:rPr>
            </w:pPr>
            <w:r w:rsidRPr="006E6EDC">
              <w:rPr>
                <w:b/>
                <w:bCs/>
              </w:rPr>
              <w:t xml:space="preserve">No. </w:t>
            </w:r>
            <w:r w:rsidR="008F5AD7" w:rsidRPr="006E6EDC">
              <w:rPr>
                <w:b/>
                <w:bCs/>
              </w:rPr>
              <w:t>5</w:t>
            </w:r>
          </w:p>
          <w:p w:rsidR="00B165DC" w:rsidRPr="006E6EDC" w:rsidRDefault="00B165DC" w:rsidP="00473D30">
            <w:pPr>
              <w:spacing w:before="120"/>
              <w:jc w:val="both"/>
            </w:pPr>
          </w:p>
        </w:tc>
        <w:tc>
          <w:tcPr>
            <w:tcW w:w="3792" w:type="dxa"/>
          </w:tcPr>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Audit and statutory declaration deadline approaching</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The Department’s website</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Fine for Armadale Real Estate over bond breach</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Reminder: licensing advice line</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Reminder: business names</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Title searches</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What happens to the interest on tenancy bond trust accounts?</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Update on National Occupational Licensing Scheme (NOLS)</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Online licence search</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Scam reminder: fake real estate listings</w:t>
            </w:r>
          </w:p>
          <w:p w:rsidR="00737ACD" w:rsidRPr="006E6EDC" w:rsidRDefault="00737ACD" w:rsidP="00737ACD">
            <w:pPr>
              <w:pStyle w:val="ListParagraph"/>
              <w:tabs>
                <w:tab w:val="right" w:pos="2540"/>
              </w:tabs>
              <w:spacing w:before="120"/>
              <w:ind w:left="340" w:right="-16"/>
              <w:jc w:val="both"/>
              <w:rPr>
                <w:rFonts w:ascii="Arial" w:hAnsi="Arial" w:cs="Arial"/>
                <w:b/>
                <w:sz w:val="20"/>
                <w:szCs w:val="20"/>
              </w:rPr>
            </w:pPr>
          </w:p>
          <w:p w:rsidR="00F96871"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Removing unclaimed goods from abandoned premises</w:t>
            </w:r>
          </w:p>
          <w:p w:rsidR="00F96871" w:rsidRPr="006E6EDC" w:rsidRDefault="00F96871" w:rsidP="00F96871">
            <w:pPr>
              <w:pStyle w:val="ListParagraph"/>
              <w:rPr>
                <w:rFonts w:ascii="Arial" w:hAnsi="Arial" w:cs="Arial"/>
                <w:b/>
                <w:sz w:val="20"/>
                <w:szCs w:val="20"/>
              </w:rPr>
            </w:pPr>
          </w:p>
          <w:p w:rsidR="00737ACD" w:rsidRPr="006E6EDC" w:rsidRDefault="00737ACD" w:rsidP="0074319B">
            <w:pPr>
              <w:pStyle w:val="ListParagraph"/>
              <w:numPr>
                <w:ilvl w:val="0"/>
                <w:numId w:val="10"/>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Legal action against rent to buy property promoters</w:t>
            </w:r>
          </w:p>
          <w:p w:rsidR="008F5AD7" w:rsidRPr="006E6EDC" w:rsidRDefault="008F5AD7" w:rsidP="00737ACD">
            <w:pPr>
              <w:tabs>
                <w:tab w:val="right" w:pos="2540"/>
              </w:tabs>
              <w:spacing w:before="120"/>
              <w:ind w:left="-20" w:right="-16"/>
              <w:jc w:val="both"/>
              <w:rPr>
                <w:rFonts w:cstheme="minorHAnsi"/>
                <w:b/>
              </w:rPr>
            </w:pPr>
          </w:p>
        </w:tc>
        <w:tc>
          <w:tcPr>
            <w:tcW w:w="9824" w:type="dxa"/>
          </w:tcPr>
          <w:p w:rsidR="00F96871" w:rsidRPr="006E6EDC" w:rsidRDefault="00F96871" w:rsidP="0074319B">
            <w:pPr>
              <w:pStyle w:val="ListParagraph"/>
              <w:numPr>
                <w:ilvl w:val="0"/>
                <w:numId w:val="11"/>
              </w:numPr>
              <w:tabs>
                <w:tab w:val="right" w:pos="9589"/>
              </w:tabs>
              <w:spacing w:before="120" w:after="120"/>
              <w:ind w:left="376"/>
              <w:jc w:val="both"/>
              <w:rPr>
                <w:rFonts w:ascii="Arial" w:hAnsi="Arial" w:cs="Arial"/>
                <w:sz w:val="20"/>
                <w:szCs w:val="20"/>
              </w:rPr>
            </w:pPr>
            <w:r w:rsidRPr="006E6EDC">
              <w:rPr>
                <w:rFonts w:ascii="Arial" w:hAnsi="Arial" w:cs="Arial"/>
                <w:sz w:val="20"/>
                <w:szCs w:val="20"/>
              </w:rPr>
              <w:t xml:space="preserve">All real estate and business agents who hold a current ‘granted’ licence, should prepare audits and statutory declarations for 2012 even if </w:t>
            </w:r>
            <w:r w:rsidRPr="006E6EDC">
              <w:rPr>
                <w:rFonts w:ascii="Arial" w:hAnsi="Arial" w:cs="Arial"/>
                <w:i/>
                <w:iCs/>
                <w:sz w:val="20"/>
                <w:szCs w:val="20"/>
              </w:rPr>
              <w:t xml:space="preserve">not </w:t>
            </w:r>
            <w:r w:rsidRPr="006E6EDC">
              <w:rPr>
                <w:rFonts w:ascii="Arial" w:hAnsi="Arial" w:cs="Arial"/>
                <w:sz w:val="20"/>
                <w:szCs w:val="20"/>
              </w:rPr>
              <w:t>trading.  For agencies completing a full audit, this must be delivered prior to the 31 March 2013 deadline.</w:t>
            </w:r>
          </w:p>
          <w:p w:rsidR="00D2171D" w:rsidRPr="006E6EDC" w:rsidRDefault="00D2171D" w:rsidP="00947C21">
            <w:pPr>
              <w:pStyle w:val="ListParagraph"/>
              <w:tabs>
                <w:tab w:val="right" w:pos="9589"/>
              </w:tabs>
              <w:ind w:left="376"/>
              <w:jc w:val="both"/>
              <w:rPr>
                <w:rFonts w:ascii="Arial" w:hAnsi="Arial" w:cs="Arial"/>
                <w:sz w:val="16"/>
                <w:szCs w:val="16"/>
              </w:rPr>
            </w:pPr>
          </w:p>
          <w:p w:rsidR="00F96871" w:rsidRPr="006E6EDC" w:rsidRDefault="00F96871" w:rsidP="0074319B">
            <w:pPr>
              <w:pStyle w:val="ListParagraph"/>
              <w:numPr>
                <w:ilvl w:val="0"/>
                <w:numId w:val="11"/>
              </w:numPr>
              <w:tabs>
                <w:tab w:val="right" w:pos="9589"/>
              </w:tabs>
              <w:ind w:left="376"/>
              <w:jc w:val="both"/>
              <w:rPr>
                <w:rFonts w:ascii="Arial" w:hAnsi="Arial" w:cs="Arial"/>
                <w:sz w:val="20"/>
                <w:szCs w:val="20"/>
              </w:rPr>
            </w:pPr>
            <w:r w:rsidRPr="006E6EDC">
              <w:rPr>
                <w:rFonts w:ascii="Arial" w:hAnsi="Arial" w:cs="Arial"/>
                <w:sz w:val="20"/>
                <w:szCs w:val="20"/>
              </w:rPr>
              <w:t>Department’s website plays an important role in the promotion and provision of educational and advisory services to industry participants and the public.</w:t>
            </w:r>
          </w:p>
          <w:p w:rsidR="00947C21" w:rsidRPr="006E6EDC" w:rsidRDefault="00947C21" w:rsidP="00947C21">
            <w:pPr>
              <w:tabs>
                <w:tab w:val="right" w:pos="9589"/>
              </w:tabs>
              <w:ind w:left="376"/>
              <w:jc w:val="both"/>
              <w:rPr>
                <w:rFonts w:ascii="Arial" w:hAnsi="Arial" w:cs="Arial"/>
                <w:sz w:val="16"/>
                <w:szCs w:val="16"/>
              </w:rPr>
            </w:pPr>
          </w:p>
          <w:p w:rsidR="00947C21" w:rsidRPr="006E6EDC" w:rsidRDefault="00947C21" w:rsidP="0074319B">
            <w:pPr>
              <w:pStyle w:val="ListParagraph"/>
              <w:numPr>
                <w:ilvl w:val="0"/>
                <w:numId w:val="11"/>
              </w:numPr>
              <w:tabs>
                <w:tab w:val="right" w:pos="9589"/>
              </w:tabs>
              <w:ind w:left="376"/>
              <w:jc w:val="both"/>
              <w:rPr>
                <w:rFonts w:ascii="Arial" w:hAnsi="Arial" w:cs="Arial"/>
                <w:sz w:val="20"/>
                <w:szCs w:val="20"/>
              </w:rPr>
            </w:pPr>
            <w:r w:rsidRPr="006E6EDC">
              <w:rPr>
                <w:rFonts w:ascii="Arial" w:hAnsi="Arial" w:cs="Arial"/>
                <w:sz w:val="20"/>
                <w:szCs w:val="20"/>
              </w:rPr>
              <w:t>Real estate agency has been fined $500 by the Perth Magistrates Court for the late lodgement of a tenant’s bond money</w:t>
            </w:r>
            <w:r w:rsidRPr="006E6EDC">
              <w:rPr>
                <w:rFonts w:ascii="HelveticaNeue-Medium" w:hAnsi="HelveticaNeue-Medium" w:cs="HelveticaNeue-Medium"/>
                <w:sz w:val="19"/>
                <w:szCs w:val="19"/>
              </w:rPr>
              <w:t xml:space="preserve"> with the Bond Administrator 56 days after receipt</w:t>
            </w:r>
            <w:r w:rsidRPr="006E6EDC">
              <w:rPr>
                <w:rFonts w:ascii="Arial" w:hAnsi="Arial" w:cs="Arial"/>
                <w:sz w:val="20"/>
                <w:szCs w:val="20"/>
              </w:rPr>
              <w:t xml:space="preserve">.  Drie Pty Ltd, trading as Armadale Real Estate, was also ordered to pay Court costs of $253 on 31 October 2012.eal estate agency, </w:t>
            </w:r>
            <w:r w:rsidRPr="006E6EDC">
              <w:rPr>
                <w:rFonts w:ascii="HelveticaNeue-Medium" w:hAnsi="HelveticaNeue-Medium" w:cs="HelveticaNeue-Medium"/>
                <w:sz w:val="19"/>
                <w:szCs w:val="19"/>
              </w:rPr>
              <w:t xml:space="preserve"> </w:t>
            </w:r>
          </w:p>
          <w:p w:rsidR="00947C21" w:rsidRPr="006E6EDC" w:rsidRDefault="00947C21" w:rsidP="00947C21">
            <w:pPr>
              <w:pStyle w:val="ListParagraph"/>
              <w:rPr>
                <w:rFonts w:ascii="Arial" w:hAnsi="Arial" w:cs="Arial"/>
                <w:sz w:val="16"/>
                <w:szCs w:val="16"/>
              </w:rPr>
            </w:pPr>
          </w:p>
          <w:p w:rsidR="00947C21" w:rsidRPr="006E6EDC" w:rsidRDefault="00947C21" w:rsidP="0074319B">
            <w:pPr>
              <w:pStyle w:val="ListParagraph"/>
              <w:numPr>
                <w:ilvl w:val="0"/>
                <w:numId w:val="11"/>
              </w:numPr>
              <w:tabs>
                <w:tab w:val="right" w:pos="9589"/>
              </w:tabs>
              <w:ind w:left="376"/>
              <w:jc w:val="both"/>
              <w:rPr>
                <w:rFonts w:ascii="Arial" w:hAnsi="Arial" w:cs="Arial"/>
                <w:sz w:val="20"/>
                <w:szCs w:val="20"/>
              </w:rPr>
            </w:pPr>
            <w:r w:rsidRPr="006E6EDC">
              <w:rPr>
                <w:rFonts w:ascii="Arial" w:hAnsi="Arial" w:cs="Arial"/>
                <w:sz w:val="20"/>
                <w:szCs w:val="20"/>
              </w:rPr>
              <w:t>Department has a dedicated contact telephone number for its Licensing Branch.</w:t>
            </w:r>
          </w:p>
          <w:p w:rsidR="00947C21" w:rsidRPr="006E6EDC" w:rsidRDefault="00F52074" w:rsidP="00F52074">
            <w:pPr>
              <w:pStyle w:val="ListParagraph"/>
              <w:tabs>
                <w:tab w:val="left" w:pos="765"/>
              </w:tabs>
              <w:ind w:left="376"/>
              <w:rPr>
                <w:rFonts w:ascii="Arial" w:hAnsi="Arial" w:cs="Arial"/>
                <w:sz w:val="16"/>
                <w:szCs w:val="16"/>
              </w:rPr>
            </w:pPr>
            <w:r w:rsidRPr="006E6EDC">
              <w:rPr>
                <w:rFonts w:ascii="Arial" w:hAnsi="Arial" w:cs="Arial"/>
                <w:sz w:val="20"/>
                <w:szCs w:val="20"/>
              </w:rPr>
              <w:tab/>
            </w:r>
          </w:p>
          <w:p w:rsidR="00947C21" w:rsidRPr="006E6EDC" w:rsidRDefault="007F11E5" w:rsidP="0074319B">
            <w:pPr>
              <w:pStyle w:val="ListParagraph"/>
              <w:numPr>
                <w:ilvl w:val="0"/>
                <w:numId w:val="11"/>
              </w:numPr>
              <w:tabs>
                <w:tab w:val="right" w:pos="9589"/>
              </w:tabs>
              <w:ind w:left="376"/>
              <w:jc w:val="both"/>
              <w:rPr>
                <w:rFonts w:ascii="Arial" w:hAnsi="Arial" w:cs="Arial"/>
                <w:sz w:val="20"/>
                <w:szCs w:val="20"/>
              </w:rPr>
            </w:pPr>
            <w:r>
              <w:rPr>
                <w:rFonts w:ascii="Arial" w:hAnsi="Arial" w:cs="Arial"/>
                <w:sz w:val="20"/>
                <w:szCs w:val="20"/>
              </w:rPr>
              <w:t>N</w:t>
            </w:r>
            <w:r w:rsidR="00947C21" w:rsidRPr="006E6EDC">
              <w:rPr>
                <w:rFonts w:ascii="Arial" w:hAnsi="Arial" w:cs="Arial"/>
                <w:sz w:val="20"/>
                <w:szCs w:val="20"/>
              </w:rPr>
              <w:t>ational Business Names Register commenced on 28 May 2012. All registration enquiries should now be directed to the Australian Securities and</w:t>
            </w:r>
            <w:r w:rsidR="0096760B" w:rsidRPr="006E6EDC">
              <w:rPr>
                <w:rFonts w:ascii="Arial" w:hAnsi="Arial" w:cs="Arial"/>
                <w:sz w:val="20"/>
                <w:szCs w:val="20"/>
              </w:rPr>
              <w:t xml:space="preserve"> </w:t>
            </w:r>
            <w:r w:rsidR="00947C21" w:rsidRPr="006E6EDC">
              <w:rPr>
                <w:rFonts w:ascii="Arial" w:hAnsi="Arial" w:cs="Arial"/>
                <w:sz w:val="20"/>
                <w:szCs w:val="20"/>
              </w:rPr>
              <w:t>Investment Commission (ASIC).</w:t>
            </w:r>
          </w:p>
          <w:p w:rsidR="00947C21" w:rsidRPr="006E6EDC" w:rsidRDefault="00947C21" w:rsidP="00947C21">
            <w:pPr>
              <w:jc w:val="both"/>
              <w:rPr>
                <w:rFonts w:ascii="Arial" w:hAnsi="Arial" w:cs="Arial"/>
                <w:sz w:val="16"/>
                <w:szCs w:val="16"/>
              </w:rPr>
            </w:pPr>
          </w:p>
          <w:p w:rsidR="0096760B" w:rsidRPr="006E6EDC" w:rsidRDefault="0096760B" w:rsidP="0074319B">
            <w:pPr>
              <w:pStyle w:val="ListParagraph"/>
              <w:numPr>
                <w:ilvl w:val="0"/>
                <w:numId w:val="11"/>
              </w:numPr>
              <w:ind w:left="376"/>
              <w:jc w:val="both"/>
              <w:rPr>
                <w:rFonts w:ascii="Arial" w:hAnsi="Arial" w:cs="Arial"/>
                <w:sz w:val="20"/>
                <w:szCs w:val="20"/>
              </w:rPr>
            </w:pPr>
            <w:r w:rsidRPr="006E6EDC">
              <w:rPr>
                <w:rFonts w:ascii="Arial" w:hAnsi="Arial" w:cs="Arial"/>
                <w:sz w:val="20"/>
                <w:szCs w:val="20"/>
              </w:rPr>
              <w:t xml:space="preserve">Agents are reminded that they should not delay obtaining title searches until receiving an offer on a property.  Article 8(3) of the </w:t>
            </w:r>
            <w:r w:rsidRPr="006E6EDC">
              <w:rPr>
                <w:rFonts w:ascii="Arial" w:hAnsi="Arial" w:cs="Arial"/>
                <w:i/>
                <w:sz w:val="20"/>
                <w:szCs w:val="20"/>
              </w:rPr>
              <w:t>Code of Conduct for Agents and Sales Representatives</w:t>
            </w:r>
            <w:r w:rsidRPr="006E6EDC">
              <w:rPr>
                <w:rFonts w:ascii="Arial" w:hAnsi="Arial" w:cs="Arial"/>
                <w:sz w:val="20"/>
                <w:szCs w:val="20"/>
              </w:rPr>
              <w:t xml:space="preserve"> states when an agent receives instructions to offer a property for sale, they shall promptly obtain a copy of the certificate of title.</w:t>
            </w:r>
          </w:p>
          <w:p w:rsidR="00D2171D" w:rsidRPr="006E6EDC" w:rsidRDefault="00D2171D" w:rsidP="00947C21">
            <w:pPr>
              <w:pStyle w:val="ListParagraph"/>
              <w:ind w:left="376"/>
              <w:rPr>
                <w:rFonts w:ascii="Arial" w:hAnsi="Arial" w:cs="Arial"/>
                <w:sz w:val="16"/>
                <w:szCs w:val="16"/>
              </w:rPr>
            </w:pPr>
          </w:p>
          <w:p w:rsidR="0096760B" w:rsidRPr="006E6EDC" w:rsidRDefault="0096760B" w:rsidP="0074319B">
            <w:pPr>
              <w:pStyle w:val="ListParagraph"/>
              <w:numPr>
                <w:ilvl w:val="0"/>
                <w:numId w:val="11"/>
              </w:numPr>
              <w:ind w:left="376"/>
              <w:jc w:val="both"/>
              <w:rPr>
                <w:rFonts w:ascii="Arial" w:hAnsi="Arial" w:cs="Arial"/>
                <w:sz w:val="20"/>
                <w:szCs w:val="20"/>
              </w:rPr>
            </w:pPr>
            <w:r w:rsidRPr="006E6EDC">
              <w:rPr>
                <w:rFonts w:ascii="Arial" w:hAnsi="Arial" w:cs="Arial"/>
                <w:sz w:val="20"/>
                <w:szCs w:val="20"/>
              </w:rPr>
              <w:t xml:space="preserve">Interest earned on residential tenancy bond accounts is used to fund a range of services, from administrative and dispute resolution costs, to tenancy education. </w:t>
            </w:r>
          </w:p>
          <w:p w:rsidR="0096760B" w:rsidRPr="006E6EDC" w:rsidRDefault="0096760B" w:rsidP="0096760B">
            <w:pPr>
              <w:pStyle w:val="ListParagraph"/>
              <w:rPr>
                <w:rFonts w:ascii="Arial" w:hAnsi="Arial" w:cs="Arial"/>
                <w:sz w:val="16"/>
                <w:szCs w:val="16"/>
              </w:rPr>
            </w:pPr>
          </w:p>
          <w:p w:rsidR="0096760B" w:rsidRPr="006E6EDC" w:rsidRDefault="0096760B" w:rsidP="0074319B">
            <w:pPr>
              <w:pStyle w:val="ListParagraph"/>
              <w:numPr>
                <w:ilvl w:val="0"/>
                <w:numId w:val="11"/>
              </w:numPr>
              <w:ind w:left="376"/>
              <w:jc w:val="both"/>
              <w:rPr>
                <w:rFonts w:ascii="Arial" w:hAnsi="Arial" w:cs="Arial"/>
                <w:sz w:val="20"/>
                <w:szCs w:val="20"/>
              </w:rPr>
            </w:pPr>
            <w:r w:rsidRPr="006E6EDC">
              <w:rPr>
                <w:rFonts w:ascii="Arial" w:hAnsi="Arial" w:cs="Arial"/>
                <w:sz w:val="20"/>
                <w:szCs w:val="20"/>
              </w:rPr>
              <w:t>The Commonwealth Taskforce, which has been responsible for developing the NOLS, held a public consultation session on the proposals as they would apply to property occupations, in Perth on 25 September 2012.  Consultation period has now closed.</w:t>
            </w:r>
          </w:p>
          <w:p w:rsidR="0096760B" w:rsidRPr="006E6EDC" w:rsidRDefault="0096760B" w:rsidP="0096760B">
            <w:pPr>
              <w:pStyle w:val="ListParagraph"/>
              <w:rPr>
                <w:rFonts w:ascii="Arial" w:hAnsi="Arial" w:cs="Arial"/>
                <w:sz w:val="16"/>
                <w:szCs w:val="16"/>
              </w:rPr>
            </w:pPr>
          </w:p>
          <w:p w:rsidR="00202FE4" w:rsidRPr="006E6EDC" w:rsidRDefault="0096760B" w:rsidP="0074319B">
            <w:pPr>
              <w:pStyle w:val="ListParagraph"/>
              <w:numPr>
                <w:ilvl w:val="0"/>
                <w:numId w:val="11"/>
              </w:numPr>
              <w:ind w:left="376"/>
              <w:jc w:val="both"/>
              <w:rPr>
                <w:rFonts w:ascii="Arial" w:hAnsi="Arial" w:cs="Arial"/>
                <w:sz w:val="20"/>
                <w:szCs w:val="20"/>
              </w:rPr>
            </w:pPr>
            <w:r w:rsidRPr="006E6EDC">
              <w:rPr>
                <w:rFonts w:ascii="Arial" w:hAnsi="Arial" w:cs="Arial"/>
                <w:sz w:val="20"/>
                <w:szCs w:val="20"/>
              </w:rPr>
              <w:t>Department of Commerce’s online licence search facility is a quick and easy way to check whether an individual, partnership or company is licensed or registered in WA.</w:t>
            </w:r>
            <w:r w:rsidR="00202FE4" w:rsidRPr="006E6EDC">
              <w:rPr>
                <w:rFonts w:ascii="Arial" w:hAnsi="Arial" w:cs="Arial"/>
                <w:sz w:val="20"/>
                <w:szCs w:val="20"/>
              </w:rPr>
              <w:t xml:space="preserve"> </w:t>
            </w:r>
            <w:r w:rsidRPr="006E6EDC">
              <w:rPr>
                <w:rFonts w:ascii="Arial" w:hAnsi="Arial" w:cs="Arial"/>
                <w:sz w:val="20"/>
                <w:szCs w:val="20"/>
              </w:rPr>
              <w:t>This applies to all real estate and business agents, settlement agents, sales representatives and other industries regulated by the Department.</w:t>
            </w:r>
          </w:p>
          <w:p w:rsidR="00202FE4" w:rsidRPr="006E6EDC" w:rsidRDefault="00202FE4" w:rsidP="00202FE4">
            <w:pPr>
              <w:pStyle w:val="ListParagraph"/>
              <w:rPr>
                <w:rFonts w:ascii="Arial" w:hAnsi="Arial" w:cs="Arial"/>
                <w:sz w:val="16"/>
                <w:szCs w:val="16"/>
              </w:rPr>
            </w:pPr>
          </w:p>
          <w:p w:rsidR="00202FE4" w:rsidRPr="006E6EDC" w:rsidRDefault="00202FE4" w:rsidP="0074319B">
            <w:pPr>
              <w:pStyle w:val="ListParagraph"/>
              <w:numPr>
                <w:ilvl w:val="0"/>
                <w:numId w:val="11"/>
              </w:numPr>
              <w:spacing w:after="120"/>
              <w:ind w:left="376"/>
              <w:jc w:val="both"/>
              <w:rPr>
                <w:rFonts w:ascii="Arial" w:hAnsi="Arial" w:cs="Arial"/>
                <w:sz w:val="20"/>
                <w:szCs w:val="20"/>
              </w:rPr>
            </w:pPr>
            <w:r w:rsidRPr="006E6EDC">
              <w:rPr>
                <w:rFonts w:ascii="Arial" w:hAnsi="Arial" w:cs="Arial"/>
                <w:sz w:val="20"/>
                <w:szCs w:val="20"/>
              </w:rPr>
              <w:t>It appears scammers have been active again in targeting potential tenants by using information and photographs from genuine sales or rental listings, but substituting the real estate agency’s contact details with their own.</w:t>
            </w:r>
            <w:r w:rsidR="00D60498" w:rsidRPr="006E6EDC">
              <w:rPr>
                <w:rFonts w:ascii="Arial" w:hAnsi="Arial" w:cs="Arial"/>
                <w:sz w:val="20"/>
                <w:szCs w:val="20"/>
              </w:rPr>
              <w:t xml:space="preserve"> </w:t>
            </w:r>
          </w:p>
        </w:tc>
      </w:tr>
    </w:tbl>
    <w:p w:rsidR="00F52074" w:rsidRPr="006E6EDC" w:rsidRDefault="00F52074" w:rsidP="00F52074">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D2171D">
        <w:trPr>
          <w:cantSplit/>
          <w:trHeight w:val="1134"/>
        </w:trPr>
        <w:tc>
          <w:tcPr>
            <w:tcW w:w="1361" w:type="dxa"/>
          </w:tcPr>
          <w:p w:rsidR="00202FE4" w:rsidRPr="006E6EDC" w:rsidRDefault="00202FE4" w:rsidP="00473D30">
            <w:pPr>
              <w:spacing w:before="120" w:after="120"/>
              <w:jc w:val="both"/>
              <w:rPr>
                <w:b/>
                <w:bCs/>
              </w:rPr>
            </w:pPr>
          </w:p>
        </w:tc>
        <w:tc>
          <w:tcPr>
            <w:tcW w:w="3792" w:type="dxa"/>
          </w:tcPr>
          <w:p w:rsidR="00202FE4" w:rsidRPr="006E6EDC" w:rsidRDefault="00202FE4" w:rsidP="00202FE4">
            <w:pPr>
              <w:pStyle w:val="ListParagraph"/>
              <w:tabs>
                <w:tab w:val="right" w:pos="2540"/>
              </w:tabs>
              <w:spacing w:before="120"/>
              <w:ind w:left="340" w:right="-16"/>
              <w:jc w:val="both"/>
              <w:rPr>
                <w:rFonts w:ascii="Arial" w:hAnsi="Arial" w:cs="Arial"/>
                <w:b/>
                <w:sz w:val="20"/>
                <w:szCs w:val="20"/>
              </w:rPr>
            </w:pPr>
          </w:p>
        </w:tc>
        <w:tc>
          <w:tcPr>
            <w:tcW w:w="9824" w:type="dxa"/>
          </w:tcPr>
          <w:p w:rsidR="00F52074" w:rsidRPr="006E6EDC" w:rsidRDefault="00F52074" w:rsidP="00F52074">
            <w:pPr>
              <w:pStyle w:val="ListParagraph"/>
              <w:rPr>
                <w:rFonts w:ascii="Arial" w:hAnsi="Arial" w:cs="Arial"/>
                <w:sz w:val="20"/>
                <w:szCs w:val="20"/>
              </w:rPr>
            </w:pPr>
          </w:p>
          <w:p w:rsidR="00F52074" w:rsidRPr="006E6EDC" w:rsidRDefault="00F52074" w:rsidP="0074319B">
            <w:pPr>
              <w:pStyle w:val="ListParagraph"/>
              <w:numPr>
                <w:ilvl w:val="0"/>
                <w:numId w:val="11"/>
              </w:numPr>
              <w:ind w:left="376"/>
              <w:jc w:val="both"/>
              <w:rPr>
                <w:rFonts w:ascii="Arial" w:hAnsi="Arial" w:cs="Arial"/>
                <w:sz w:val="20"/>
                <w:szCs w:val="20"/>
              </w:rPr>
            </w:pPr>
            <w:r w:rsidRPr="006E6EDC">
              <w:rPr>
                <w:rFonts w:ascii="Arial" w:hAnsi="Arial" w:cs="Arial"/>
                <w:sz w:val="20"/>
                <w:szCs w:val="20"/>
              </w:rPr>
              <w:t xml:space="preserve">Real estate agents and property managers are reminded that there are legal requirements for storing, selling or disposing of goods that have been left abandoned by a tenant. </w:t>
            </w:r>
          </w:p>
          <w:p w:rsidR="00202FE4" w:rsidRPr="006E6EDC" w:rsidRDefault="00202FE4" w:rsidP="00202FE4">
            <w:pPr>
              <w:tabs>
                <w:tab w:val="right" w:pos="9589"/>
              </w:tabs>
              <w:jc w:val="both"/>
              <w:rPr>
                <w:rFonts w:ascii="Arial" w:hAnsi="Arial" w:cs="Arial"/>
                <w:sz w:val="20"/>
                <w:szCs w:val="20"/>
              </w:rPr>
            </w:pPr>
          </w:p>
          <w:p w:rsidR="00202FE4" w:rsidRPr="006E6EDC" w:rsidRDefault="00202FE4" w:rsidP="0074319B">
            <w:pPr>
              <w:pStyle w:val="ListParagraph"/>
              <w:numPr>
                <w:ilvl w:val="0"/>
                <w:numId w:val="11"/>
              </w:numPr>
              <w:tabs>
                <w:tab w:val="right" w:pos="9589"/>
              </w:tabs>
              <w:spacing w:after="240"/>
              <w:ind w:left="376"/>
              <w:jc w:val="both"/>
              <w:rPr>
                <w:rFonts w:ascii="Arial" w:hAnsi="Arial" w:cs="Arial"/>
                <w:sz w:val="20"/>
                <w:szCs w:val="20"/>
              </w:rPr>
            </w:pPr>
            <w:r w:rsidRPr="006E6EDC">
              <w:rPr>
                <w:rFonts w:ascii="Arial" w:hAnsi="Arial" w:cs="Arial"/>
                <w:sz w:val="20"/>
                <w:szCs w:val="20"/>
              </w:rPr>
              <w:t xml:space="preserve">Consumer Protection has lodged a Supreme Court Writ seeking an injunction against promoters of a rent to buy property scheme in WA.  In the legal action, </w:t>
            </w:r>
            <w:r w:rsidR="00820657" w:rsidRPr="006E6EDC">
              <w:rPr>
                <w:rFonts w:ascii="Arial" w:hAnsi="Arial" w:cs="Arial"/>
                <w:sz w:val="20"/>
                <w:szCs w:val="20"/>
              </w:rPr>
              <w:t xml:space="preserve"> </w:t>
            </w:r>
            <w:r w:rsidR="009C5164" w:rsidRPr="006E6EDC">
              <w:rPr>
                <w:rFonts w:ascii="Arial" w:hAnsi="Arial" w:cs="Arial"/>
                <w:sz w:val="20"/>
                <w:szCs w:val="20"/>
              </w:rPr>
              <w:t>it</w:t>
            </w:r>
            <w:r w:rsidR="00820657" w:rsidRPr="006E6EDC">
              <w:rPr>
                <w:rFonts w:ascii="Arial" w:hAnsi="Arial" w:cs="Arial"/>
                <w:sz w:val="20"/>
                <w:szCs w:val="20"/>
              </w:rPr>
              <w:t xml:space="preserve"> will be </w:t>
            </w:r>
            <w:r w:rsidRPr="006E6EDC">
              <w:rPr>
                <w:rFonts w:ascii="Arial" w:hAnsi="Arial" w:cs="Arial"/>
                <w:sz w:val="20"/>
                <w:szCs w:val="20"/>
              </w:rPr>
              <w:t>allege</w:t>
            </w:r>
            <w:r w:rsidR="00820657" w:rsidRPr="006E6EDC">
              <w:rPr>
                <w:rFonts w:ascii="Arial" w:hAnsi="Arial" w:cs="Arial"/>
                <w:sz w:val="20"/>
                <w:szCs w:val="20"/>
              </w:rPr>
              <w:t>d</w:t>
            </w:r>
            <w:r w:rsidRPr="006E6EDC">
              <w:rPr>
                <w:rFonts w:ascii="Arial" w:hAnsi="Arial" w:cs="Arial"/>
                <w:sz w:val="20"/>
                <w:szCs w:val="20"/>
              </w:rPr>
              <w:t xml:space="preserve"> that Patricia Mirawati Susilo and Bryan Artawijaya Susilo of Applecross, have engaged in misleading and deceptive conduct in breach of the A</w:t>
            </w:r>
            <w:r w:rsidR="00820657" w:rsidRPr="006E6EDC">
              <w:rPr>
                <w:rFonts w:ascii="Arial" w:hAnsi="Arial" w:cs="Arial"/>
                <w:sz w:val="20"/>
                <w:szCs w:val="20"/>
              </w:rPr>
              <w:t>CL</w:t>
            </w:r>
            <w:r w:rsidRPr="006E6EDC">
              <w:rPr>
                <w:rFonts w:ascii="Arial" w:hAnsi="Arial" w:cs="Arial"/>
                <w:sz w:val="20"/>
                <w:szCs w:val="20"/>
              </w:rPr>
              <w:t>.</w:t>
            </w:r>
          </w:p>
        </w:tc>
      </w:tr>
    </w:tbl>
    <w:p w:rsidR="00130E02" w:rsidRPr="006E6EDC" w:rsidRDefault="00130E02" w:rsidP="00707CA6">
      <w:pPr>
        <w:spacing w:after="0"/>
      </w:pPr>
    </w:p>
    <w:p w:rsidR="00130E02" w:rsidRPr="006E6EDC" w:rsidRDefault="00130E02">
      <w:r w:rsidRPr="006E6EDC">
        <w:br w:type="page"/>
      </w:r>
    </w:p>
    <w:p w:rsidR="0071743C" w:rsidRPr="006E6EDC" w:rsidRDefault="0071743C" w:rsidP="00707CA6">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164B2D">
        <w:tc>
          <w:tcPr>
            <w:tcW w:w="1361" w:type="dxa"/>
            <w:shd w:val="clear" w:color="auto" w:fill="D9D9D9" w:themeFill="background1" w:themeFillShade="D9"/>
          </w:tcPr>
          <w:p w:rsidR="00707CA6" w:rsidRPr="006E6EDC" w:rsidRDefault="00707CA6" w:rsidP="00164B2D">
            <w:pPr>
              <w:spacing w:before="60" w:after="60"/>
              <w:rPr>
                <w:b/>
                <w:sz w:val="24"/>
                <w:szCs w:val="24"/>
              </w:rPr>
            </w:pPr>
            <w:r w:rsidRPr="006E6EDC">
              <w:rPr>
                <w:b/>
                <w:sz w:val="24"/>
                <w:szCs w:val="24"/>
              </w:rPr>
              <w:t>DATE / NO.</w:t>
            </w:r>
          </w:p>
        </w:tc>
        <w:tc>
          <w:tcPr>
            <w:tcW w:w="3792" w:type="dxa"/>
            <w:shd w:val="clear" w:color="auto" w:fill="D9D9D9" w:themeFill="background1" w:themeFillShade="D9"/>
          </w:tcPr>
          <w:p w:rsidR="00707CA6" w:rsidRPr="006E6EDC" w:rsidRDefault="00707CA6" w:rsidP="00164B2D">
            <w:pPr>
              <w:spacing w:before="60" w:after="60"/>
              <w:rPr>
                <w:b/>
                <w:sz w:val="24"/>
                <w:szCs w:val="24"/>
              </w:rPr>
            </w:pPr>
            <w:r w:rsidRPr="006E6EDC">
              <w:rPr>
                <w:b/>
                <w:sz w:val="24"/>
                <w:szCs w:val="24"/>
              </w:rPr>
              <w:t xml:space="preserve">ISSUE / TITLE </w:t>
            </w:r>
          </w:p>
        </w:tc>
        <w:tc>
          <w:tcPr>
            <w:tcW w:w="9824" w:type="dxa"/>
            <w:shd w:val="clear" w:color="auto" w:fill="D9D9D9" w:themeFill="background1" w:themeFillShade="D9"/>
          </w:tcPr>
          <w:p w:rsidR="00707CA6" w:rsidRPr="006E6EDC" w:rsidRDefault="00707CA6" w:rsidP="00164B2D">
            <w:pPr>
              <w:spacing w:before="60" w:after="60"/>
              <w:rPr>
                <w:b/>
                <w:sz w:val="24"/>
                <w:szCs w:val="24"/>
              </w:rPr>
            </w:pPr>
            <w:r w:rsidRPr="006E6EDC">
              <w:rPr>
                <w:b/>
                <w:sz w:val="24"/>
                <w:szCs w:val="24"/>
              </w:rPr>
              <w:t>CONTENT SUMMARY</w:t>
            </w:r>
          </w:p>
        </w:tc>
      </w:tr>
      <w:tr w:rsidR="006E6EDC" w:rsidRPr="006E6EDC" w:rsidTr="00B165DC">
        <w:tc>
          <w:tcPr>
            <w:tcW w:w="1361" w:type="dxa"/>
          </w:tcPr>
          <w:p w:rsidR="00FF24C6" w:rsidRPr="006E6EDC" w:rsidRDefault="0071743C" w:rsidP="0071743C">
            <w:pPr>
              <w:spacing w:before="120"/>
            </w:pPr>
            <w:r w:rsidRPr="006E6EDC">
              <w:rPr>
                <w:b/>
                <w:bCs/>
              </w:rPr>
              <w:t xml:space="preserve">Spring / </w:t>
            </w:r>
            <w:r w:rsidR="00FF24C6" w:rsidRPr="006E6EDC">
              <w:rPr>
                <w:b/>
                <w:bCs/>
              </w:rPr>
              <w:t>October 2012</w:t>
            </w:r>
          </w:p>
          <w:p w:rsidR="00FF24C6" w:rsidRPr="006E6EDC" w:rsidRDefault="00FF24C6" w:rsidP="0071743C">
            <w:pPr>
              <w:spacing w:before="120"/>
              <w:rPr>
                <w:b/>
                <w:bCs/>
              </w:rPr>
            </w:pPr>
            <w:r w:rsidRPr="006E6EDC">
              <w:rPr>
                <w:b/>
                <w:bCs/>
              </w:rPr>
              <w:t>No. 4</w:t>
            </w:r>
          </w:p>
          <w:p w:rsidR="00B165DC" w:rsidRPr="006E6EDC" w:rsidRDefault="00B165DC" w:rsidP="00A455E7">
            <w:pPr>
              <w:spacing w:before="120" w:after="120"/>
              <w:jc w:val="both"/>
            </w:pPr>
          </w:p>
        </w:tc>
        <w:tc>
          <w:tcPr>
            <w:tcW w:w="3792" w:type="dxa"/>
          </w:tcPr>
          <w:p w:rsidR="0071743C" w:rsidRPr="006E6EDC" w:rsidRDefault="00A455E7"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R</w:t>
            </w:r>
            <w:r w:rsidR="0071743C" w:rsidRPr="006E6EDC">
              <w:rPr>
                <w:rFonts w:ascii="Arial" w:hAnsi="Arial" w:cs="Arial"/>
                <w:b/>
                <w:sz w:val="20"/>
                <w:szCs w:val="20"/>
              </w:rPr>
              <w:t>esidential tenancy amendment regulations</w:t>
            </w:r>
          </w:p>
          <w:p w:rsidR="00504888" w:rsidRPr="006E6EDC" w:rsidRDefault="00504888" w:rsidP="00504888">
            <w:pPr>
              <w:pStyle w:val="ListParagraph"/>
              <w:tabs>
                <w:tab w:val="right" w:pos="2540"/>
              </w:tabs>
              <w:spacing w:before="120"/>
              <w:ind w:left="340" w:right="-16"/>
              <w:jc w:val="both"/>
              <w:rPr>
                <w:rFonts w:ascii="Arial" w:hAnsi="Arial" w:cs="Arial"/>
                <w:b/>
                <w:sz w:val="20"/>
                <w:szCs w:val="20"/>
              </w:rPr>
            </w:pPr>
          </w:p>
          <w:p w:rsidR="00504888"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Commercial tenancy amendment regulations</w:t>
            </w:r>
          </w:p>
          <w:p w:rsidR="00504888" w:rsidRPr="006E6EDC" w:rsidRDefault="00504888" w:rsidP="00504888">
            <w:pPr>
              <w:pStyle w:val="ListParagraph"/>
              <w:tabs>
                <w:tab w:val="right" w:pos="2540"/>
              </w:tabs>
              <w:spacing w:before="120"/>
              <w:ind w:left="340" w:right="-16"/>
              <w:jc w:val="both"/>
              <w:rPr>
                <w:rFonts w:ascii="Arial" w:hAnsi="Arial" w:cs="Arial"/>
                <w:b/>
                <w:sz w:val="20"/>
                <w:szCs w:val="20"/>
              </w:rPr>
            </w:pPr>
          </w:p>
          <w:p w:rsidR="0071743C"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Commercial tenancy: Small Business Commissioner</w:t>
            </w:r>
          </w:p>
          <w:p w:rsidR="00504888" w:rsidRPr="006E6EDC" w:rsidRDefault="00504888" w:rsidP="00504888">
            <w:pPr>
              <w:pStyle w:val="ListParagraph"/>
              <w:tabs>
                <w:tab w:val="right" w:pos="2540"/>
              </w:tabs>
              <w:spacing w:before="120"/>
              <w:ind w:left="340" w:right="-16"/>
              <w:jc w:val="both"/>
              <w:rPr>
                <w:rFonts w:ascii="Arial" w:hAnsi="Arial" w:cs="Arial"/>
                <w:b/>
                <w:sz w:val="20"/>
                <w:szCs w:val="20"/>
              </w:rPr>
            </w:pPr>
          </w:p>
          <w:p w:rsidR="00504888"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Reconciling tenancy bond trust accounts</w:t>
            </w:r>
          </w:p>
          <w:p w:rsidR="00504888" w:rsidRPr="006E6EDC" w:rsidRDefault="00504888" w:rsidP="00504888">
            <w:pPr>
              <w:pStyle w:val="ListParagraph"/>
              <w:rPr>
                <w:rFonts w:ascii="Arial" w:hAnsi="Arial" w:cs="Arial"/>
                <w:b/>
                <w:sz w:val="20"/>
                <w:szCs w:val="20"/>
              </w:rPr>
            </w:pPr>
          </w:p>
          <w:p w:rsidR="0071743C"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Code of Conduct Reviews</w:t>
            </w:r>
          </w:p>
          <w:p w:rsidR="00504888" w:rsidRPr="006E6EDC" w:rsidRDefault="00504888" w:rsidP="00504888">
            <w:pPr>
              <w:pStyle w:val="ListParagraph"/>
              <w:tabs>
                <w:tab w:val="right" w:pos="2540"/>
              </w:tabs>
              <w:spacing w:before="120"/>
              <w:ind w:left="340" w:right="-16"/>
              <w:jc w:val="both"/>
              <w:rPr>
                <w:rFonts w:ascii="Arial" w:hAnsi="Arial" w:cs="Arial"/>
                <w:b/>
                <w:sz w:val="20"/>
                <w:szCs w:val="20"/>
              </w:rPr>
            </w:pPr>
          </w:p>
          <w:p w:rsidR="0071743C"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Are you using EFT for security bonds?</w:t>
            </w:r>
          </w:p>
          <w:p w:rsidR="00504888" w:rsidRPr="006E6EDC" w:rsidRDefault="00504888" w:rsidP="00504888">
            <w:pPr>
              <w:pStyle w:val="ListParagraph"/>
              <w:tabs>
                <w:tab w:val="right" w:pos="2540"/>
              </w:tabs>
              <w:spacing w:before="120"/>
              <w:ind w:left="340" w:right="-16"/>
              <w:jc w:val="both"/>
              <w:rPr>
                <w:rFonts w:ascii="Arial" w:hAnsi="Arial" w:cs="Arial"/>
                <w:b/>
                <w:sz w:val="20"/>
                <w:szCs w:val="20"/>
              </w:rPr>
            </w:pPr>
          </w:p>
          <w:p w:rsidR="0071743C"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Rental market discrimination</w:t>
            </w:r>
          </w:p>
          <w:p w:rsidR="00504888" w:rsidRPr="006E6EDC" w:rsidRDefault="00504888" w:rsidP="00504888">
            <w:pPr>
              <w:pStyle w:val="ListParagraph"/>
              <w:tabs>
                <w:tab w:val="right" w:pos="2540"/>
              </w:tabs>
              <w:spacing w:before="120"/>
              <w:ind w:left="340" w:right="-16"/>
              <w:jc w:val="both"/>
              <w:rPr>
                <w:rFonts w:ascii="Arial" w:hAnsi="Arial" w:cs="Arial"/>
                <w:b/>
                <w:sz w:val="20"/>
                <w:szCs w:val="20"/>
              </w:rPr>
            </w:pPr>
          </w:p>
          <w:p w:rsidR="00504888"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Two-year suspension and $3,000 fine for property sales rep</w:t>
            </w:r>
          </w:p>
          <w:p w:rsidR="00504888" w:rsidRPr="006E6EDC" w:rsidRDefault="00504888" w:rsidP="00504888">
            <w:pPr>
              <w:pStyle w:val="ListParagraph"/>
              <w:rPr>
                <w:rFonts w:ascii="Arial" w:hAnsi="Arial" w:cs="Arial"/>
                <w:b/>
                <w:sz w:val="20"/>
                <w:szCs w:val="20"/>
              </w:rPr>
            </w:pPr>
          </w:p>
          <w:p w:rsidR="0071743C"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Aircraft noise and residential property sales</w:t>
            </w:r>
          </w:p>
          <w:p w:rsidR="00504888" w:rsidRPr="006E6EDC" w:rsidRDefault="00504888" w:rsidP="00504888">
            <w:pPr>
              <w:pStyle w:val="ListParagraph"/>
              <w:tabs>
                <w:tab w:val="right" w:pos="2540"/>
              </w:tabs>
              <w:spacing w:before="120"/>
              <w:ind w:left="340" w:right="-16"/>
              <w:jc w:val="both"/>
              <w:rPr>
                <w:rFonts w:ascii="Arial" w:hAnsi="Arial" w:cs="Arial"/>
                <w:b/>
                <w:sz w:val="20"/>
                <w:szCs w:val="20"/>
              </w:rPr>
            </w:pPr>
          </w:p>
          <w:p w:rsidR="0071743C"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 xml:space="preserve">Licensee or person in </w:t>
            </w:r>
            <w:r w:rsidRPr="006E6EDC">
              <w:rPr>
                <w:rFonts w:ascii="Arial" w:hAnsi="Arial" w:cs="Arial"/>
                <w:b/>
                <w:i/>
                <w:iCs/>
                <w:sz w:val="20"/>
                <w:szCs w:val="20"/>
              </w:rPr>
              <w:t xml:space="preserve">bona fide </w:t>
            </w:r>
            <w:r w:rsidRPr="006E6EDC">
              <w:rPr>
                <w:rFonts w:ascii="Arial" w:hAnsi="Arial" w:cs="Arial"/>
                <w:b/>
                <w:sz w:val="20"/>
                <w:szCs w:val="20"/>
              </w:rPr>
              <w:t>control: taking leave</w:t>
            </w:r>
          </w:p>
          <w:p w:rsidR="00504888" w:rsidRPr="006E6EDC" w:rsidRDefault="00504888" w:rsidP="00504888">
            <w:pPr>
              <w:pStyle w:val="ListParagraph"/>
              <w:tabs>
                <w:tab w:val="right" w:pos="2540"/>
              </w:tabs>
              <w:spacing w:before="120"/>
              <w:ind w:left="340" w:right="-16"/>
              <w:jc w:val="both"/>
              <w:rPr>
                <w:rFonts w:ascii="Arial" w:hAnsi="Arial" w:cs="Arial"/>
                <w:b/>
                <w:sz w:val="20"/>
                <w:szCs w:val="20"/>
              </w:rPr>
            </w:pPr>
          </w:p>
          <w:p w:rsidR="0071743C" w:rsidRPr="006E6EDC" w:rsidRDefault="0071743C" w:rsidP="0074319B">
            <w:pPr>
              <w:pStyle w:val="ListParagraph"/>
              <w:numPr>
                <w:ilvl w:val="0"/>
                <w:numId w:val="13"/>
              </w:numPr>
              <w:tabs>
                <w:tab w:val="right" w:pos="2540"/>
              </w:tabs>
              <w:spacing w:before="120"/>
              <w:ind w:left="340" w:right="-16"/>
              <w:jc w:val="both"/>
              <w:rPr>
                <w:rFonts w:ascii="Arial" w:hAnsi="Arial" w:cs="Arial"/>
                <w:b/>
                <w:sz w:val="20"/>
                <w:szCs w:val="20"/>
              </w:rPr>
            </w:pPr>
            <w:r w:rsidRPr="006E6EDC">
              <w:rPr>
                <w:rFonts w:ascii="Arial" w:hAnsi="Arial" w:cs="Arial"/>
                <w:b/>
                <w:sz w:val="20"/>
                <w:szCs w:val="20"/>
              </w:rPr>
              <w:t>Home Buyers Assistance Account</w:t>
            </w:r>
          </w:p>
          <w:p w:rsidR="00B165DC" w:rsidRPr="006E6EDC" w:rsidRDefault="00B165DC" w:rsidP="0071743C">
            <w:pPr>
              <w:tabs>
                <w:tab w:val="right" w:pos="2540"/>
              </w:tabs>
              <w:ind w:right="-16"/>
              <w:jc w:val="both"/>
              <w:rPr>
                <w:rFonts w:cstheme="minorHAnsi"/>
                <w:b/>
              </w:rPr>
            </w:pPr>
          </w:p>
        </w:tc>
        <w:tc>
          <w:tcPr>
            <w:tcW w:w="9824" w:type="dxa"/>
          </w:tcPr>
          <w:p w:rsidR="0071743C" w:rsidRPr="006E6EDC" w:rsidRDefault="0071743C" w:rsidP="0074319B">
            <w:pPr>
              <w:pStyle w:val="ListParagraph"/>
              <w:numPr>
                <w:ilvl w:val="0"/>
                <w:numId w:val="12"/>
              </w:numPr>
              <w:spacing w:before="120" w:after="120"/>
              <w:ind w:left="376"/>
              <w:jc w:val="both"/>
              <w:rPr>
                <w:rFonts w:ascii="Arial" w:hAnsi="Arial" w:cs="Arial"/>
                <w:sz w:val="20"/>
                <w:szCs w:val="20"/>
              </w:rPr>
            </w:pPr>
            <w:r w:rsidRPr="006E6EDC">
              <w:rPr>
                <w:rFonts w:ascii="Arial" w:hAnsi="Arial" w:cs="Arial"/>
                <w:sz w:val="20"/>
                <w:szCs w:val="20"/>
              </w:rPr>
              <w:t>In May 2012, Consumer Protection released a consultation paper seeking feedback about five key areas to be dealt with in regulations that have to be prepared as a result of amendments to the Residential Tenancies Act (the Act). These included: the content of the mandatory residential tenancy agreement; the content of the mandatory property condition reports; the amount of the capped option fee; clarifying the minimum security obligations for residential rental premises; and clarifying which urgent repairs should be considered essential services.</w:t>
            </w:r>
          </w:p>
          <w:p w:rsidR="0059034A" w:rsidRPr="006E6EDC" w:rsidRDefault="0059034A" w:rsidP="0059034A">
            <w:pPr>
              <w:pStyle w:val="ListParagraph"/>
              <w:spacing w:before="120" w:after="120"/>
              <w:ind w:left="376"/>
              <w:jc w:val="both"/>
              <w:rPr>
                <w:rFonts w:ascii="Arial" w:hAnsi="Arial" w:cs="Arial"/>
                <w:sz w:val="20"/>
                <w:szCs w:val="20"/>
              </w:rPr>
            </w:pPr>
          </w:p>
          <w:p w:rsidR="0059034A" w:rsidRPr="006E6EDC" w:rsidRDefault="0059034A" w:rsidP="0074319B">
            <w:pPr>
              <w:pStyle w:val="ListParagraph"/>
              <w:numPr>
                <w:ilvl w:val="0"/>
                <w:numId w:val="12"/>
              </w:numPr>
              <w:spacing w:before="120" w:after="120"/>
              <w:ind w:left="376"/>
              <w:jc w:val="both"/>
              <w:rPr>
                <w:rFonts w:ascii="Arial" w:hAnsi="Arial" w:cs="Arial"/>
                <w:sz w:val="20"/>
                <w:szCs w:val="20"/>
              </w:rPr>
            </w:pPr>
            <w:r w:rsidRPr="006E6EDC">
              <w:rPr>
                <w:rFonts w:ascii="Arial" w:hAnsi="Arial" w:cs="Arial"/>
                <w:sz w:val="20"/>
                <w:szCs w:val="20"/>
              </w:rPr>
              <w:t>Real Estate News</w:t>
            </w:r>
            <w:r w:rsidR="005D2156">
              <w:rPr>
                <w:rFonts w:ascii="Arial" w:hAnsi="Arial" w:cs="Arial"/>
                <w:sz w:val="20"/>
                <w:szCs w:val="20"/>
              </w:rPr>
              <w:t xml:space="preserve"> (S</w:t>
            </w:r>
            <w:r w:rsidR="005D2156" w:rsidRPr="006E6EDC">
              <w:rPr>
                <w:rFonts w:ascii="Arial" w:hAnsi="Arial" w:cs="Arial"/>
                <w:sz w:val="20"/>
                <w:szCs w:val="20"/>
              </w:rPr>
              <w:t>ummer edition</w:t>
            </w:r>
            <w:r w:rsidR="005D2156">
              <w:rPr>
                <w:rFonts w:ascii="Arial" w:hAnsi="Arial" w:cs="Arial"/>
                <w:sz w:val="20"/>
                <w:szCs w:val="20"/>
              </w:rPr>
              <w:t>)</w:t>
            </w:r>
            <w:r w:rsidR="005D2156" w:rsidRPr="006E6EDC">
              <w:rPr>
                <w:rFonts w:ascii="Arial" w:hAnsi="Arial" w:cs="Arial"/>
                <w:sz w:val="20"/>
                <w:szCs w:val="20"/>
              </w:rPr>
              <w:t xml:space="preserve"> </w:t>
            </w:r>
            <w:r w:rsidRPr="006E6EDC">
              <w:rPr>
                <w:rFonts w:ascii="Arial" w:hAnsi="Arial" w:cs="Arial"/>
                <w:sz w:val="20"/>
                <w:szCs w:val="20"/>
              </w:rPr>
              <w:t xml:space="preserve">outlined amendments to the </w:t>
            </w:r>
            <w:r w:rsidRPr="006E6EDC">
              <w:rPr>
                <w:rFonts w:ascii="Arial" w:hAnsi="Arial" w:cs="Arial"/>
                <w:i/>
                <w:iCs/>
                <w:sz w:val="20"/>
                <w:szCs w:val="20"/>
              </w:rPr>
              <w:t xml:space="preserve">Commercial Tenancy (Retail Shops) Agreements Act 1985.  </w:t>
            </w:r>
            <w:r w:rsidRPr="006E6EDC">
              <w:rPr>
                <w:rFonts w:ascii="Arial" w:hAnsi="Arial" w:cs="Arial"/>
                <w:sz w:val="20"/>
                <w:szCs w:val="20"/>
              </w:rPr>
              <w:t xml:space="preserve">These amendments mean the </w:t>
            </w:r>
            <w:r w:rsidRPr="006E6EDC">
              <w:rPr>
                <w:rFonts w:ascii="Arial" w:hAnsi="Arial" w:cs="Arial"/>
                <w:i/>
                <w:iCs/>
                <w:sz w:val="20"/>
                <w:szCs w:val="20"/>
              </w:rPr>
              <w:t xml:space="preserve">Commercial Tenancy (Retail Shops) Agreements Regulations 1985 </w:t>
            </w:r>
            <w:r w:rsidRPr="006E6EDC">
              <w:rPr>
                <w:rFonts w:ascii="Arial" w:hAnsi="Arial" w:cs="Arial"/>
                <w:sz w:val="20"/>
                <w:szCs w:val="20"/>
              </w:rPr>
              <w:t>(the Regulations) will also need to be changed.  Changes to the Regulations include key matters such as: a more comprehensive disclosure statement; a revised tenant guide; a definition of lettable area; and a standard redevelopment and relocation clause.</w:t>
            </w:r>
          </w:p>
          <w:p w:rsidR="0059034A" w:rsidRPr="006E6EDC" w:rsidRDefault="0059034A" w:rsidP="0059034A">
            <w:pPr>
              <w:pStyle w:val="ListParagraph"/>
              <w:ind w:left="376"/>
              <w:rPr>
                <w:rFonts w:ascii="Arial" w:hAnsi="Arial" w:cs="Arial"/>
                <w:sz w:val="20"/>
                <w:szCs w:val="20"/>
              </w:rPr>
            </w:pPr>
          </w:p>
          <w:p w:rsidR="0059034A" w:rsidRPr="006E6EDC" w:rsidRDefault="0059034A" w:rsidP="0074319B">
            <w:pPr>
              <w:pStyle w:val="ListParagraph"/>
              <w:numPr>
                <w:ilvl w:val="0"/>
                <w:numId w:val="12"/>
              </w:numPr>
              <w:spacing w:before="120" w:after="120"/>
              <w:ind w:left="376"/>
              <w:jc w:val="both"/>
              <w:rPr>
                <w:rFonts w:ascii="Arial" w:hAnsi="Arial" w:cs="Arial"/>
                <w:sz w:val="20"/>
                <w:szCs w:val="20"/>
              </w:rPr>
            </w:pPr>
            <w:r w:rsidRPr="006E6EDC">
              <w:rPr>
                <w:rFonts w:ascii="Arial" w:hAnsi="Arial" w:cs="Arial"/>
                <w:sz w:val="20"/>
                <w:szCs w:val="20"/>
              </w:rPr>
              <w:t>The new Small Business Commissioner for WA commenced in March this year. The Commissioner has a role in relation to the resolution of retail tenancy disputes through the provision of low cost alternative dispute resolution services to small businesses, including retail shop tenants.</w:t>
            </w:r>
          </w:p>
          <w:p w:rsidR="0059034A" w:rsidRPr="006E6EDC" w:rsidRDefault="0059034A" w:rsidP="0059034A">
            <w:pPr>
              <w:pStyle w:val="ListParagraph"/>
              <w:ind w:left="376"/>
              <w:rPr>
                <w:rFonts w:ascii="Arial" w:hAnsi="Arial" w:cs="Arial"/>
                <w:sz w:val="20"/>
                <w:szCs w:val="20"/>
              </w:rPr>
            </w:pPr>
          </w:p>
          <w:p w:rsidR="0059034A" w:rsidRPr="006E6EDC" w:rsidRDefault="0059034A" w:rsidP="0074319B">
            <w:pPr>
              <w:pStyle w:val="ListParagraph"/>
              <w:numPr>
                <w:ilvl w:val="0"/>
                <w:numId w:val="12"/>
              </w:numPr>
              <w:spacing w:before="120" w:after="120"/>
              <w:ind w:left="376"/>
              <w:jc w:val="both"/>
              <w:rPr>
                <w:rFonts w:ascii="Arial" w:hAnsi="Arial" w:cs="Arial"/>
                <w:sz w:val="20"/>
                <w:szCs w:val="20"/>
              </w:rPr>
            </w:pPr>
            <w:r w:rsidRPr="006E6EDC">
              <w:rPr>
                <w:rFonts w:ascii="Arial" w:hAnsi="Arial" w:cs="Arial"/>
                <w:sz w:val="20"/>
                <w:szCs w:val="20"/>
              </w:rPr>
              <w:t>The former Real Estate and Business Agents Board (the Board) issued auditing guidelines in two publications, Real estate trust accounting: a reference manual and A guide to auditing real estate and business agents trust accounts.</w:t>
            </w:r>
          </w:p>
          <w:p w:rsidR="0059034A" w:rsidRPr="006E6EDC" w:rsidRDefault="0059034A" w:rsidP="0059034A">
            <w:pPr>
              <w:pStyle w:val="ListParagraph"/>
              <w:rPr>
                <w:rFonts w:ascii="Arial" w:hAnsi="Arial" w:cs="Arial"/>
                <w:sz w:val="20"/>
                <w:szCs w:val="20"/>
              </w:rPr>
            </w:pPr>
          </w:p>
          <w:p w:rsidR="00C06515" w:rsidRPr="006E6EDC" w:rsidRDefault="0059034A" w:rsidP="0074319B">
            <w:pPr>
              <w:pStyle w:val="ListParagraph"/>
              <w:numPr>
                <w:ilvl w:val="0"/>
                <w:numId w:val="12"/>
              </w:numPr>
              <w:spacing w:before="120" w:after="120"/>
              <w:ind w:left="376"/>
              <w:jc w:val="both"/>
              <w:rPr>
                <w:rFonts w:ascii="Arial" w:hAnsi="Arial" w:cs="Arial"/>
                <w:sz w:val="20"/>
                <w:szCs w:val="20"/>
              </w:rPr>
            </w:pPr>
            <w:r w:rsidRPr="006E6EDC">
              <w:rPr>
                <w:rFonts w:ascii="Arial" w:hAnsi="Arial" w:cs="Arial"/>
                <w:sz w:val="20"/>
                <w:szCs w:val="20"/>
              </w:rPr>
              <w:t xml:space="preserve">Consumer Protection has commenced a review of the property industry codes of conduct and will shortly release a Discussion Paper for comment. The review will cover the Code of Conduct for Agents and Sales Representative 2011 (made under the </w:t>
            </w:r>
            <w:r w:rsidRPr="006E6EDC">
              <w:rPr>
                <w:rFonts w:ascii="Arial" w:hAnsi="Arial" w:cs="Arial"/>
                <w:i/>
                <w:iCs/>
                <w:sz w:val="20"/>
                <w:szCs w:val="20"/>
              </w:rPr>
              <w:t>Real Estate and Business Agents Act 1978</w:t>
            </w:r>
            <w:r w:rsidRPr="006E6EDC">
              <w:rPr>
                <w:rFonts w:ascii="Arial" w:hAnsi="Arial" w:cs="Arial"/>
                <w:sz w:val="20"/>
                <w:szCs w:val="20"/>
              </w:rPr>
              <w:t xml:space="preserve">), Settlement Agents’ Code of Conduct 1982 (made under the </w:t>
            </w:r>
            <w:r w:rsidRPr="006E6EDC">
              <w:rPr>
                <w:rFonts w:ascii="Arial" w:hAnsi="Arial" w:cs="Arial"/>
                <w:i/>
                <w:iCs/>
                <w:sz w:val="20"/>
                <w:szCs w:val="20"/>
              </w:rPr>
              <w:t>Settlement Agents Act 1981</w:t>
            </w:r>
            <w:r w:rsidRPr="006E6EDC">
              <w:rPr>
                <w:rFonts w:ascii="Arial" w:hAnsi="Arial" w:cs="Arial"/>
                <w:sz w:val="20"/>
                <w:szCs w:val="20"/>
              </w:rPr>
              <w:t xml:space="preserve">) and the Licensed Valuers Code of Conduct (made under the </w:t>
            </w:r>
            <w:r w:rsidRPr="006E6EDC">
              <w:rPr>
                <w:rFonts w:ascii="Arial" w:hAnsi="Arial" w:cs="Arial"/>
                <w:i/>
                <w:iCs/>
                <w:sz w:val="20"/>
                <w:szCs w:val="20"/>
              </w:rPr>
              <w:t>Land Valuers Licensing Act 1978</w:t>
            </w:r>
            <w:r w:rsidRPr="006E6EDC">
              <w:rPr>
                <w:rFonts w:ascii="Arial" w:hAnsi="Arial" w:cs="Arial"/>
                <w:sz w:val="20"/>
                <w:szCs w:val="20"/>
              </w:rPr>
              <w:t>) (the Codes).</w:t>
            </w:r>
          </w:p>
          <w:p w:rsidR="00504888" w:rsidRPr="006E6EDC" w:rsidRDefault="00504888" w:rsidP="00504888">
            <w:pPr>
              <w:pStyle w:val="ListParagraph"/>
              <w:rPr>
                <w:rFonts w:ascii="Arial" w:hAnsi="Arial" w:cs="Arial"/>
                <w:sz w:val="20"/>
                <w:szCs w:val="20"/>
              </w:rPr>
            </w:pPr>
          </w:p>
          <w:p w:rsidR="00504888" w:rsidRPr="006E6EDC" w:rsidRDefault="00504888" w:rsidP="0074319B">
            <w:pPr>
              <w:pStyle w:val="ListParagraph"/>
              <w:numPr>
                <w:ilvl w:val="0"/>
                <w:numId w:val="12"/>
              </w:numPr>
              <w:autoSpaceDE w:val="0"/>
              <w:autoSpaceDN w:val="0"/>
              <w:adjustRightInd w:val="0"/>
              <w:spacing w:after="120"/>
              <w:ind w:left="376"/>
              <w:jc w:val="both"/>
              <w:rPr>
                <w:rFonts w:ascii="Arial" w:hAnsi="Arial" w:cs="Arial"/>
                <w:sz w:val="20"/>
                <w:szCs w:val="20"/>
              </w:rPr>
            </w:pPr>
            <w:r w:rsidRPr="006E6EDC">
              <w:rPr>
                <w:rFonts w:ascii="Arial" w:hAnsi="Arial" w:cs="Arial"/>
                <w:sz w:val="20"/>
                <w:szCs w:val="20"/>
              </w:rPr>
              <w:t xml:space="preserve">Bond Administrator has developed a new management system for residential tenancy security bonds, Bonds Online. The changeover to the new system started on 10/7/2012 with Consumer Protection moving significant resources into bond administration during the implementation period to help maintain services. </w:t>
            </w:r>
          </w:p>
        </w:tc>
      </w:tr>
    </w:tbl>
    <w:p w:rsidR="007A58B7" w:rsidRPr="006E6EDC" w:rsidRDefault="007A58B7"/>
    <w:p w:rsidR="007A58B7" w:rsidRPr="006E6EDC" w:rsidRDefault="007A58B7"/>
    <w:p w:rsidR="00287A27" w:rsidRPr="006E6EDC" w:rsidRDefault="00287A27"/>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B165DC">
        <w:tc>
          <w:tcPr>
            <w:tcW w:w="1361" w:type="dxa"/>
          </w:tcPr>
          <w:p w:rsidR="0059034A" w:rsidRPr="006E6EDC" w:rsidRDefault="0059034A" w:rsidP="0071743C">
            <w:pPr>
              <w:spacing w:before="120"/>
              <w:rPr>
                <w:b/>
                <w:bCs/>
              </w:rPr>
            </w:pPr>
          </w:p>
        </w:tc>
        <w:tc>
          <w:tcPr>
            <w:tcW w:w="3792" w:type="dxa"/>
          </w:tcPr>
          <w:p w:rsidR="0059034A" w:rsidRPr="006E6EDC" w:rsidRDefault="0059034A" w:rsidP="0071743C">
            <w:pPr>
              <w:tabs>
                <w:tab w:val="right" w:pos="2540"/>
              </w:tabs>
              <w:spacing w:before="120"/>
              <w:ind w:right="-16"/>
              <w:jc w:val="both"/>
              <w:rPr>
                <w:rFonts w:ascii="Arial" w:hAnsi="Arial" w:cs="Arial"/>
                <w:b/>
                <w:sz w:val="20"/>
                <w:szCs w:val="20"/>
              </w:rPr>
            </w:pPr>
          </w:p>
        </w:tc>
        <w:tc>
          <w:tcPr>
            <w:tcW w:w="9824" w:type="dxa"/>
          </w:tcPr>
          <w:p w:rsidR="00504888" w:rsidRPr="006E6EDC" w:rsidRDefault="00504888" w:rsidP="0074319B">
            <w:pPr>
              <w:pStyle w:val="ListParagraph"/>
              <w:numPr>
                <w:ilvl w:val="0"/>
                <w:numId w:val="12"/>
              </w:numPr>
              <w:spacing w:before="120"/>
              <w:ind w:left="376"/>
              <w:jc w:val="both"/>
              <w:rPr>
                <w:rFonts w:ascii="Arial" w:hAnsi="Arial" w:cs="Arial"/>
                <w:sz w:val="20"/>
                <w:szCs w:val="20"/>
              </w:rPr>
            </w:pPr>
            <w:r w:rsidRPr="006E6EDC">
              <w:rPr>
                <w:rFonts w:ascii="Arial" w:hAnsi="Arial" w:cs="Arial"/>
                <w:sz w:val="20"/>
                <w:szCs w:val="20"/>
              </w:rPr>
              <w:t>In light of recent news reports claiming people applying to rent residential property have faced discrimination, Consumer Protection would like to remind all property managers and sales representatives of their obligations to treat all rental applicants equally and fairly.</w:t>
            </w:r>
          </w:p>
          <w:p w:rsidR="00287A27" w:rsidRPr="006E6EDC" w:rsidRDefault="00287A27" w:rsidP="00287A27">
            <w:pPr>
              <w:pStyle w:val="ListParagraph"/>
              <w:spacing w:before="120"/>
              <w:ind w:left="376"/>
              <w:jc w:val="both"/>
              <w:rPr>
                <w:rFonts w:ascii="Arial" w:hAnsi="Arial" w:cs="Arial"/>
                <w:sz w:val="20"/>
                <w:szCs w:val="20"/>
              </w:rPr>
            </w:pPr>
          </w:p>
          <w:p w:rsidR="00287A27" w:rsidRPr="006E6EDC" w:rsidRDefault="00287A27" w:rsidP="0074319B">
            <w:pPr>
              <w:pStyle w:val="ListParagraph"/>
              <w:numPr>
                <w:ilvl w:val="0"/>
                <w:numId w:val="12"/>
              </w:numPr>
              <w:spacing w:before="120" w:after="120"/>
              <w:ind w:left="376"/>
              <w:jc w:val="both"/>
              <w:rPr>
                <w:rFonts w:ascii="Arial" w:hAnsi="Arial" w:cs="Arial"/>
                <w:sz w:val="20"/>
                <w:szCs w:val="20"/>
              </w:rPr>
            </w:pPr>
            <w:r w:rsidRPr="006E6EDC">
              <w:rPr>
                <w:rFonts w:ascii="Arial" w:hAnsi="Arial" w:cs="Arial"/>
                <w:sz w:val="20"/>
                <w:szCs w:val="20"/>
              </w:rPr>
              <w:t>A Perth real estate sales representative who dishonestly kept clients’ money intended for property advertising or repairs has been disqualified for two years and fined $3,000.  Consumer Protection took disciplinary action against Byron Hutton, of Tuart Hill, for breaches of the Code of Conduct for Agents and Sales Representatives.</w:t>
            </w:r>
          </w:p>
          <w:p w:rsidR="00287A27" w:rsidRPr="006E6EDC" w:rsidRDefault="00287A27" w:rsidP="00287A27">
            <w:pPr>
              <w:pStyle w:val="ListParagraph"/>
              <w:rPr>
                <w:rFonts w:ascii="Arial" w:hAnsi="Arial" w:cs="Arial"/>
                <w:sz w:val="20"/>
                <w:szCs w:val="20"/>
              </w:rPr>
            </w:pPr>
          </w:p>
          <w:p w:rsidR="00287A27" w:rsidRPr="006E6EDC" w:rsidRDefault="00287A27" w:rsidP="0074319B">
            <w:pPr>
              <w:pStyle w:val="ListParagraph"/>
              <w:numPr>
                <w:ilvl w:val="0"/>
                <w:numId w:val="12"/>
              </w:numPr>
              <w:spacing w:before="120" w:after="120"/>
              <w:ind w:left="376"/>
              <w:jc w:val="both"/>
              <w:rPr>
                <w:rFonts w:ascii="Arial" w:hAnsi="Arial" w:cs="Arial"/>
                <w:sz w:val="20"/>
                <w:szCs w:val="20"/>
              </w:rPr>
            </w:pPr>
            <w:r w:rsidRPr="006E6EDC">
              <w:rPr>
                <w:rFonts w:ascii="Arial" w:hAnsi="Arial" w:cs="Arial"/>
                <w:sz w:val="20"/>
                <w:szCs w:val="20"/>
              </w:rPr>
              <w:t xml:space="preserve">The impact of aircraft noise on residential property can be an important factor in the residential sales process. Real estate agents should be aware of their obligation to inform prospective buyers of any interest which may impact a property, including aircraft noise. </w:t>
            </w:r>
          </w:p>
          <w:p w:rsidR="00287A27" w:rsidRPr="006E6EDC" w:rsidRDefault="00287A27" w:rsidP="00287A27">
            <w:pPr>
              <w:pStyle w:val="ListParagraph"/>
              <w:rPr>
                <w:rFonts w:ascii="Arial" w:hAnsi="Arial" w:cs="Arial"/>
                <w:sz w:val="20"/>
                <w:szCs w:val="20"/>
              </w:rPr>
            </w:pPr>
          </w:p>
          <w:p w:rsidR="00287A27" w:rsidRPr="006E6EDC" w:rsidRDefault="00287A27" w:rsidP="0074319B">
            <w:pPr>
              <w:pStyle w:val="ListParagraph"/>
              <w:numPr>
                <w:ilvl w:val="0"/>
                <w:numId w:val="12"/>
              </w:numPr>
              <w:spacing w:before="120" w:after="120"/>
              <w:ind w:left="376"/>
              <w:jc w:val="both"/>
              <w:rPr>
                <w:rFonts w:ascii="Arial" w:hAnsi="Arial" w:cs="Arial"/>
                <w:sz w:val="20"/>
                <w:szCs w:val="20"/>
              </w:rPr>
            </w:pPr>
            <w:r w:rsidRPr="006E6EDC">
              <w:rPr>
                <w:rFonts w:ascii="Arial" w:hAnsi="Arial" w:cs="Arial"/>
                <w:sz w:val="20"/>
                <w:szCs w:val="20"/>
              </w:rPr>
              <w:t>The supervision of a real estate agency by a licensed real estate agent is an essential component in ensuring the best interests of clients are served in real estate transactions.  Errors, deceptions or misrepresentations that could be made by employees are more likely to be identified when a licensee is supervising and controlling the conduct of the business.</w:t>
            </w:r>
          </w:p>
          <w:p w:rsidR="00287A27" w:rsidRPr="006E6EDC" w:rsidRDefault="00287A27" w:rsidP="00287A27">
            <w:pPr>
              <w:pStyle w:val="ListParagraph"/>
              <w:rPr>
                <w:rFonts w:ascii="Arial" w:hAnsi="Arial" w:cs="Arial"/>
                <w:sz w:val="20"/>
                <w:szCs w:val="20"/>
              </w:rPr>
            </w:pPr>
          </w:p>
          <w:p w:rsidR="0059034A" w:rsidRPr="006E6EDC" w:rsidRDefault="00287A27" w:rsidP="0074319B">
            <w:pPr>
              <w:pStyle w:val="ListParagraph"/>
              <w:numPr>
                <w:ilvl w:val="0"/>
                <w:numId w:val="12"/>
              </w:numPr>
              <w:spacing w:before="120" w:after="120"/>
              <w:ind w:left="376"/>
              <w:jc w:val="both"/>
              <w:rPr>
                <w:rFonts w:ascii="Arial" w:hAnsi="Arial" w:cs="Arial"/>
                <w:sz w:val="20"/>
                <w:szCs w:val="20"/>
              </w:rPr>
            </w:pPr>
            <w:r w:rsidRPr="006E6EDC">
              <w:rPr>
                <w:rFonts w:ascii="Arial" w:hAnsi="Arial" w:cs="Arial"/>
                <w:sz w:val="20"/>
                <w:szCs w:val="20"/>
              </w:rPr>
              <w:t>The Home Buyers Assistance Account (HBAA) was established to financially assist first home buyers with the incidental expenses incurred when purchasing an established or partly built home through a licensed real estate agent. Consumer Protection encourages real estate agents and sales representatives to promote and educate clients about this grant.</w:t>
            </w:r>
          </w:p>
        </w:tc>
      </w:tr>
    </w:tbl>
    <w:p w:rsidR="004251D5" w:rsidRPr="006E6EDC" w:rsidRDefault="004251D5"/>
    <w:p w:rsidR="007A58B7" w:rsidRPr="006E6EDC" w:rsidRDefault="007A58B7"/>
    <w:p w:rsidR="007A58B7" w:rsidRPr="006E6EDC" w:rsidRDefault="007A58B7"/>
    <w:p w:rsidR="007A58B7" w:rsidRPr="006E6EDC" w:rsidRDefault="007A58B7"/>
    <w:p w:rsidR="007A58B7" w:rsidRPr="006E6EDC" w:rsidRDefault="007A58B7"/>
    <w:p w:rsidR="007A58B7" w:rsidRPr="006E6EDC" w:rsidRDefault="007A58B7"/>
    <w:p w:rsidR="00B75B07" w:rsidRPr="006E6EDC" w:rsidRDefault="00B75B07" w:rsidP="00B75B07">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164B2D">
        <w:tc>
          <w:tcPr>
            <w:tcW w:w="1361" w:type="dxa"/>
            <w:shd w:val="clear" w:color="auto" w:fill="D9D9D9" w:themeFill="background1" w:themeFillShade="D9"/>
          </w:tcPr>
          <w:p w:rsidR="00B75B07" w:rsidRPr="006E6EDC" w:rsidRDefault="00B75B07" w:rsidP="00164B2D">
            <w:pPr>
              <w:spacing w:before="60" w:after="60"/>
              <w:rPr>
                <w:b/>
                <w:sz w:val="24"/>
                <w:szCs w:val="24"/>
              </w:rPr>
            </w:pPr>
            <w:r w:rsidRPr="006E6EDC">
              <w:rPr>
                <w:b/>
                <w:sz w:val="24"/>
                <w:szCs w:val="24"/>
              </w:rPr>
              <w:t>DATE / NO.</w:t>
            </w:r>
          </w:p>
        </w:tc>
        <w:tc>
          <w:tcPr>
            <w:tcW w:w="3792" w:type="dxa"/>
            <w:shd w:val="clear" w:color="auto" w:fill="D9D9D9" w:themeFill="background1" w:themeFillShade="D9"/>
          </w:tcPr>
          <w:p w:rsidR="00B75B07" w:rsidRPr="006E6EDC" w:rsidRDefault="00B75B07" w:rsidP="00164B2D">
            <w:pPr>
              <w:spacing w:before="60" w:after="60"/>
              <w:rPr>
                <w:b/>
                <w:sz w:val="24"/>
                <w:szCs w:val="24"/>
              </w:rPr>
            </w:pPr>
            <w:r w:rsidRPr="006E6EDC">
              <w:rPr>
                <w:b/>
                <w:sz w:val="24"/>
                <w:szCs w:val="24"/>
              </w:rPr>
              <w:t xml:space="preserve">ISSUE / TITLE </w:t>
            </w:r>
          </w:p>
        </w:tc>
        <w:tc>
          <w:tcPr>
            <w:tcW w:w="9824" w:type="dxa"/>
            <w:shd w:val="clear" w:color="auto" w:fill="D9D9D9" w:themeFill="background1" w:themeFillShade="D9"/>
          </w:tcPr>
          <w:p w:rsidR="00B75B07" w:rsidRPr="006E6EDC" w:rsidRDefault="00B75B07" w:rsidP="00164B2D">
            <w:pPr>
              <w:spacing w:before="60" w:after="60"/>
              <w:rPr>
                <w:b/>
                <w:sz w:val="24"/>
                <w:szCs w:val="24"/>
              </w:rPr>
            </w:pPr>
            <w:r w:rsidRPr="006E6EDC">
              <w:rPr>
                <w:b/>
                <w:sz w:val="24"/>
                <w:szCs w:val="24"/>
              </w:rPr>
              <w:t>CONTENT SUMMARY</w:t>
            </w:r>
          </w:p>
        </w:tc>
      </w:tr>
      <w:tr w:rsidR="006E6EDC" w:rsidRPr="006E6EDC" w:rsidTr="00B165DC">
        <w:tc>
          <w:tcPr>
            <w:tcW w:w="1361" w:type="dxa"/>
          </w:tcPr>
          <w:p w:rsidR="00FF24C6" w:rsidRPr="006E6EDC" w:rsidRDefault="00FF24C6" w:rsidP="00FF24C6">
            <w:pPr>
              <w:spacing w:before="120" w:after="120"/>
              <w:jc w:val="both"/>
            </w:pPr>
            <w:r w:rsidRPr="006E6EDC">
              <w:rPr>
                <w:b/>
                <w:bCs/>
              </w:rPr>
              <w:t>Autumn 2012</w:t>
            </w:r>
          </w:p>
          <w:p w:rsidR="00FF24C6" w:rsidRPr="006E6EDC" w:rsidRDefault="00FF24C6" w:rsidP="00FF24C6">
            <w:pPr>
              <w:spacing w:before="120"/>
              <w:jc w:val="both"/>
              <w:rPr>
                <w:b/>
                <w:bCs/>
              </w:rPr>
            </w:pPr>
            <w:r w:rsidRPr="006E6EDC">
              <w:rPr>
                <w:b/>
                <w:bCs/>
              </w:rPr>
              <w:t>No. 3</w:t>
            </w:r>
          </w:p>
          <w:p w:rsidR="00A455E7" w:rsidRPr="006E6EDC" w:rsidRDefault="00A455E7" w:rsidP="0018296B">
            <w:pPr>
              <w:spacing w:before="120"/>
              <w:jc w:val="both"/>
            </w:pPr>
          </w:p>
        </w:tc>
        <w:tc>
          <w:tcPr>
            <w:tcW w:w="3792" w:type="dxa"/>
          </w:tcPr>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New policy to counter title fraud</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Witnessing statutory declarations</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Bob Oliver Realty fined $1,000</w:t>
            </w:r>
            <w:r w:rsidR="00CF60DF" w:rsidRPr="006E6EDC">
              <w:rPr>
                <w:rFonts w:ascii="Arial" w:hAnsi="Arial" w:cs="Arial"/>
                <w:b/>
                <w:sz w:val="20"/>
                <w:szCs w:val="20"/>
              </w:rPr>
              <w:t xml:space="preserve"> </w:t>
            </w:r>
            <w:r w:rsidRPr="006E6EDC">
              <w:rPr>
                <w:rFonts w:ascii="Arial" w:hAnsi="Arial" w:cs="Arial"/>
                <w:b/>
                <w:sz w:val="20"/>
                <w:szCs w:val="20"/>
              </w:rPr>
              <w:t>over bond dispute</w:t>
            </w:r>
            <w:r w:rsidR="00CF60DF" w:rsidRPr="006E6EDC">
              <w:rPr>
                <w:rFonts w:ascii="Arial" w:hAnsi="Arial" w:cs="Arial"/>
                <w:b/>
                <w:sz w:val="20"/>
                <w:szCs w:val="20"/>
              </w:rPr>
              <w:t xml:space="preserve"> </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The Contaminated Sites Act 2003</w:t>
            </w:r>
            <w:r w:rsidR="00CF60DF" w:rsidRPr="006E6EDC">
              <w:rPr>
                <w:rFonts w:ascii="Arial" w:hAnsi="Arial" w:cs="Arial"/>
                <w:b/>
                <w:sz w:val="20"/>
                <w:szCs w:val="20"/>
              </w:rPr>
              <w:t xml:space="preserve"> a</w:t>
            </w:r>
            <w:r w:rsidRPr="006E6EDC">
              <w:rPr>
                <w:rFonts w:ascii="Arial" w:hAnsi="Arial" w:cs="Arial"/>
                <w:b/>
                <w:sz w:val="20"/>
                <w:szCs w:val="20"/>
              </w:rPr>
              <w:t>nd real estate in WA</w:t>
            </w:r>
            <w:r w:rsidR="00CF60DF" w:rsidRPr="006E6EDC">
              <w:rPr>
                <w:rFonts w:ascii="Arial" w:hAnsi="Arial" w:cs="Arial"/>
                <w:b/>
                <w:sz w:val="20"/>
                <w:szCs w:val="20"/>
              </w:rPr>
              <w:t xml:space="preserve"> </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Breaking fixed-term tenancies</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Change of address: statutory obligations</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Owner address details</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Easier access to Commerce</w:t>
            </w:r>
            <w:r w:rsidR="00CF60DF" w:rsidRPr="006E6EDC">
              <w:rPr>
                <w:rFonts w:ascii="Arial" w:hAnsi="Arial" w:cs="Arial"/>
                <w:b/>
                <w:sz w:val="20"/>
                <w:szCs w:val="20"/>
              </w:rPr>
              <w:t xml:space="preserve"> </w:t>
            </w:r>
            <w:r w:rsidRPr="006E6EDC">
              <w:rPr>
                <w:rFonts w:ascii="Arial" w:hAnsi="Arial" w:cs="Arial"/>
                <w:b/>
                <w:sz w:val="20"/>
                <w:szCs w:val="20"/>
              </w:rPr>
              <w:t>web addresses</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Do you act for a developer?</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Real estate agents fined over illegal fees</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Property Managers</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287A27" w:rsidRPr="006E6EDC" w:rsidRDefault="00287A27" w:rsidP="0074319B">
            <w:pPr>
              <w:pStyle w:val="ListParagraph"/>
              <w:numPr>
                <w:ilvl w:val="0"/>
                <w:numId w:val="14"/>
              </w:numPr>
              <w:tabs>
                <w:tab w:val="right" w:pos="2540"/>
              </w:tabs>
              <w:spacing w:before="120"/>
              <w:ind w:left="482" w:right="-16"/>
              <w:jc w:val="both"/>
              <w:rPr>
                <w:rFonts w:ascii="Arial" w:hAnsi="Arial" w:cs="Arial"/>
                <w:b/>
                <w:sz w:val="20"/>
                <w:szCs w:val="20"/>
              </w:rPr>
            </w:pPr>
            <w:r w:rsidRPr="006E6EDC">
              <w:rPr>
                <w:rFonts w:ascii="Arial" w:hAnsi="Arial" w:cs="Arial"/>
                <w:b/>
                <w:sz w:val="20"/>
                <w:szCs w:val="20"/>
              </w:rPr>
              <w:t>Dispute resolution service</w:t>
            </w:r>
          </w:p>
          <w:p w:rsidR="00CF60DF" w:rsidRPr="006E6EDC" w:rsidRDefault="00CF60DF" w:rsidP="00CF60DF">
            <w:pPr>
              <w:pStyle w:val="ListParagraph"/>
              <w:tabs>
                <w:tab w:val="right" w:pos="2540"/>
              </w:tabs>
              <w:spacing w:before="120"/>
              <w:ind w:left="482" w:right="-16"/>
              <w:jc w:val="both"/>
              <w:rPr>
                <w:rFonts w:ascii="Arial" w:hAnsi="Arial" w:cs="Arial"/>
                <w:b/>
                <w:sz w:val="20"/>
                <w:szCs w:val="20"/>
              </w:rPr>
            </w:pPr>
          </w:p>
          <w:p w:rsidR="00A455E7" w:rsidRPr="006E6EDC" w:rsidRDefault="00A455E7" w:rsidP="00CF60DF">
            <w:pPr>
              <w:tabs>
                <w:tab w:val="right" w:pos="2540"/>
              </w:tabs>
              <w:spacing w:before="120" w:after="120"/>
              <w:ind w:right="-16"/>
              <w:jc w:val="both"/>
              <w:rPr>
                <w:rFonts w:cstheme="minorHAnsi"/>
                <w:b/>
                <w:strike/>
              </w:rPr>
            </w:pPr>
          </w:p>
        </w:tc>
        <w:tc>
          <w:tcPr>
            <w:tcW w:w="9824" w:type="dxa"/>
          </w:tcPr>
          <w:p w:rsidR="004251D5" w:rsidRPr="006E6EDC" w:rsidRDefault="004251D5" w:rsidP="004251D5">
            <w:pPr>
              <w:pStyle w:val="ListParagraph"/>
              <w:ind w:left="376"/>
              <w:jc w:val="both"/>
              <w:rPr>
                <w:rFonts w:cstheme="minorHAnsi"/>
                <w:sz w:val="16"/>
                <w:szCs w:val="16"/>
              </w:rPr>
            </w:pPr>
          </w:p>
          <w:p w:rsidR="005A2592" w:rsidRPr="006E6EDC" w:rsidRDefault="005A2592" w:rsidP="0074319B">
            <w:pPr>
              <w:pStyle w:val="ListParagraph"/>
              <w:numPr>
                <w:ilvl w:val="0"/>
                <w:numId w:val="15"/>
              </w:numPr>
              <w:spacing w:before="100" w:beforeAutospacing="1" w:after="120"/>
              <w:ind w:left="376"/>
              <w:jc w:val="both"/>
              <w:rPr>
                <w:rFonts w:ascii="Arial" w:hAnsi="Arial" w:cs="Arial"/>
                <w:sz w:val="20"/>
                <w:szCs w:val="20"/>
              </w:rPr>
            </w:pPr>
            <w:r w:rsidRPr="006E6EDC">
              <w:rPr>
                <w:rFonts w:ascii="Arial" w:hAnsi="Arial" w:cs="Arial"/>
                <w:sz w:val="20"/>
                <w:szCs w:val="20"/>
              </w:rPr>
              <w:t xml:space="preserve">A new policy aimed at reducing the incidence of land title fraud and other improper dealings in WA is currently being drafted by Landgate.  The Western Australian Registrar of Titles and Commissioner of Titles are drafting the policy ‘Joint Practice: Verification of Identity’ in response to two alleged Western Australian land title frauds in 2010 and 2011. </w:t>
            </w:r>
          </w:p>
          <w:p w:rsidR="005A2592" w:rsidRPr="006E6EDC" w:rsidRDefault="005A2592" w:rsidP="005A2592">
            <w:pPr>
              <w:pStyle w:val="ListParagraph"/>
              <w:spacing w:before="100" w:beforeAutospacing="1" w:after="120"/>
              <w:ind w:left="376"/>
              <w:jc w:val="both"/>
              <w:rPr>
                <w:rFonts w:ascii="Arial" w:hAnsi="Arial" w:cs="Arial"/>
                <w:sz w:val="20"/>
                <w:szCs w:val="20"/>
              </w:rPr>
            </w:pPr>
          </w:p>
          <w:p w:rsidR="005A2592" w:rsidRPr="006E6EDC" w:rsidRDefault="005A2592" w:rsidP="0074319B">
            <w:pPr>
              <w:pStyle w:val="ListParagraph"/>
              <w:numPr>
                <w:ilvl w:val="0"/>
                <w:numId w:val="15"/>
              </w:numPr>
              <w:autoSpaceDE w:val="0"/>
              <w:autoSpaceDN w:val="0"/>
              <w:adjustRightInd w:val="0"/>
              <w:ind w:left="376"/>
              <w:jc w:val="both"/>
              <w:rPr>
                <w:rFonts w:ascii="HelveticaNeue-Medium" w:hAnsi="HelveticaNeue-Medium" w:cs="HelveticaNeue-Medium"/>
                <w:sz w:val="20"/>
                <w:szCs w:val="20"/>
              </w:rPr>
            </w:pPr>
            <w:r w:rsidRPr="006E6EDC">
              <w:rPr>
                <w:rFonts w:ascii="Arial" w:hAnsi="Arial" w:cs="Arial"/>
                <w:sz w:val="20"/>
                <w:szCs w:val="20"/>
              </w:rPr>
              <w:t xml:space="preserve">A statutory declaration for any purpose in Western Australia must be made in accordance with the </w:t>
            </w:r>
            <w:r w:rsidRPr="006E6EDC">
              <w:rPr>
                <w:rFonts w:ascii="Arial" w:hAnsi="Arial" w:cs="Arial"/>
                <w:i/>
                <w:iCs/>
                <w:sz w:val="20"/>
                <w:szCs w:val="20"/>
              </w:rPr>
              <w:t xml:space="preserve">Oaths, Affidavits and Statutory Declarations Act 2005 </w:t>
            </w:r>
            <w:r w:rsidRPr="006E6EDC">
              <w:rPr>
                <w:rFonts w:ascii="Arial" w:hAnsi="Arial" w:cs="Arial"/>
                <w:sz w:val="20"/>
                <w:szCs w:val="20"/>
              </w:rPr>
              <w:t>(the Act). The legislation allows more than 40 occupational groups to witness statutory declarations, including licenced real estate agents and settlement agents.</w:t>
            </w:r>
          </w:p>
          <w:p w:rsidR="005A2592" w:rsidRPr="006E6EDC" w:rsidRDefault="005A2592" w:rsidP="005A2592">
            <w:pPr>
              <w:pStyle w:val="ListParagraph"/>
              <w:rPr>
                <w:rFonts w:ascii="HelveticaNeue-Medium" w:hAnsi="HelveticaNeue-Medium" w:cs="HelveticaNeue-Medium"/>
                <w:sz w:val="20"/>
                <w:szCs w:val="20"/>
              </w:rPr>
            </w:pPr>
          </w:p>
          <w:p w:rsidR="005A2592" w:rsidRPr="006E6EDC" w:rsidRDefault="005A2592" w:rsidP="0074319B">
            <w:pPr>
              <w:pStyle w:val="ListParagraph"/>
              <w:numPr>
                <w:ilvl w:val="0"/>
                <w:numId w:val="15"/>
              </w:numPr>
              <w:autoSpaceDE w:val="0"/>
              <w:autoSpaceDN w:val="0"/>
              <w:adjustRightInd w:val="0"/>
              <w:ind w:left="376"/>
              <w:jc w:val="both"/>
              <w:rPr>
                <w:rFonts w:ascii="HelveticaNeue-Medium" w:hAnsi="HelveticaNeue-Medium" w:cs="HelveticaNeue-Medium"/>
                <w:sz w:val="20"/>
                <w:szCs w:val="20"/>
              </w:rPr>
            </w:pPr>
            <w:r w:rsidRPr="006E6EDC">
              <w:rPr>
                <w:rFonts w:ascii="Arial" w:hAnsi="Arial" w:cs="Arial"/>
                <w:sz w:val="20"/>
                <w:szCs w:val="20"/>
              </w:rPr>
              <w:t>Applecross real estate agency has been fined $1,000 and ordered to pay costs of $451 over a bond dispute.  Bob Oliver Realty Pty Ltd appeared in the Fremantle Magistrates Court on 23 March 2012 charged with failing to pay back a security bond to a tenant in accordance with a Court order within seven days.</w:t>
            </w:r>
          </w:p>
          <w:p w:rsidR="004251D5" w:rsidRPr="006E6EDC" w:rsidRDefault="004251D5" w:rsidP="00FC793B">
            <w:pPr>
              <w:pStyle w:val="ListParagraph"/>
              <w:ind w:left="376"/>
              <w:jc w:val="both"/>
              <w:rPr>
                <w:rFonts w:ascii="Arial" w:hAnsi="Arial" w:cs="Arial"/>
                <w:sz w:val="20"/>
                <w:szCs w:val="20"/>
              </w:rPr>
            </w:pPr>
          </w:p>
          <w:p w:rsidR="005A2592" w:rsidRPr="006E6EDC" w:rsidRDefault="005A2592" w:rsidP="0074319B">
            <w:pPr>
              <w:pStyle w:val="ListParagraph"/>
              <w:numPr>
                <w:ilvl w:val="0"/>
                <w:numId w:val="15"/>
              </w:numPr>
              <w:autoSpaceDE w:val="0"/>
              <w:autoSpaceDN w:val="0"/>
              <w:adjustRightInd w:val="0"/>
              <w:ind w:left="376"/>
              <w:jc w:val="both"/>
              <w:rPr>
                <w:rFonts w:ascii="HelveticaNeue-Light" w:hAnsi="HelveticaNeue-Light" w:cs="HelveticaNeue-Light"/>
                <w:sz w:val="19"/>
                <w:szCs w:val="19"/>
              </w:rPr>
            </w:pPr>
            <w:r w:rsidRPr="006E6EDC">
              <w:rPr>
                <w:rFonts w:ascii="Arial" w:hAnsi="Arial" w:cs="Arial"/>
                <w:sz w:val="20"/>
                <w:szCs w:val="20"/>
              </w:rPr>
              <w:t>Real estate professionals should conduct reasonable and timely searches of published</w:t>
            </w:r>
            <w:r w:rsidR="00FC793B" w:rsidRPr="006E6EDC">
              <w:rPr>
                <w:rFonts w:ascii="Arial" w:hAnsi="Arial" w:cs="Arial"/>
                <w:sz w:val="20"/>
                <w:szCs w:val="20"/>
              </w:rPr>
              <w:t xml:space="preserve"> contaminated sites i</w:t>
            </w:r>
            <w:r w:rsidRPr="006E6EDC">
              <w:rPr>
                <w:rFonts w:ascii="Arial" w:hAnsi="Arial" w:cs="Arial"/>
                <w:sz w:val="20"/>
                <w:szCs w:val="20"/>
              </w:rPr>
              <w:t>nformation as part of any</w:t>
            </w:r>
            <w:r w:rsidR="00FC793B" w:rsidRPr="006E6EDC">
              <w:rPr>
                <w:rFonts w:ascii="Arial" w:hAnsi="Arial" w:cs="Arial"/>
                <w:sz w:val="20"/>
                <w:szCs w:val="20"/>
              </w:rPr>
              <w:t xml:space="preserve"> </w:t>
            </w:r>
            <w:r w:rsidRPr="006E6EDC">
              <w:rPr>
                <w:rFonts w:ascii="Arial" w:hAnsi="Arial" w:cs="Arial"/>
                <w:sz w:val="20"/>
                <w:szCs w:val="20"/>
              </w:rPr>
              <w:t>regular due diligence enq</w:t>
            </w:r>
            <w:r w:rsidR="00FC793B" w:rsidRPr="006E6EDC">
              <w:rPr>
                <w:rFonts w:ascii="Arial" w:hAnsi="Arial" w:cs="Arial"/>
                <w:sz w:val="20"/>
                <w:szCs w:val="20"/>
              </w:rPr>
              <w:t xml:space="preserve">uiry.  </w:t>
            </w:r>
            <w:r w:rsidR="00FC793B" w:rsidRPr="006E6EDC">
              <w:rPr>
                <w:rFonts w:ascii="HelveticaNeue-Light" w:hAnsi="HelveticaNeue-Light" w:cs="HelveticaNeue-Light"/>
                <w:sz w:val="19"/>
                <w:szCs w:val="19"/>
              </w:rPr>
              <w:t xml:space="preserve">Pursuant to Section 68 of the </w:t>
            </w:r>
            <w:r w:rsidR="00FC793B" w:rsidRPr="006E6EDC">
              <w:rPr>
                <w:rFonts w:ascii="HelveticaNeue-LightItalic" w:hAnsi="HelveticaNeue-LightItalic" w:cs="HelveticaNeue-LightItalic"/>
                <w:i/>
                <w:iCs/>
                <w:sz w:val="19"/>
                <w:szCs w:val="19"/>
              </w:rPr>
              <w:t xml:space="preserve">Contaminated Sites Act 2003 </w:t>
            </w:r>
            <w:r w:rsidR="00FC793B" w:rsidRPr="006E6EDC">
              <w:rPr>
                <w:rFonts w:ascii="HelveticaNeue-Light" w:hAnsi="HelveticaNeue-Light" w:cs="HelveticaNeue-Light"/>
                <w:sz w:val="19"/>
                <w:szCs w:val="19"/>
              </w:rPr>
              <w:t>(the Act), any transaction which involves the sale, lease or mortgage of a contaminated site must include formal disclosure (Form 6) of the contamination at least 14 days before completion of the transaction.</w:t>
            </w:r>
          </w:p>
          <w:p w:rsidR="00FC793B" w:rsidRPr="006E6EDC" w:rsidRDefault="00FC793B" w:rsidP="00FC793B">
            <w:pPr>
              <w:autoSpaceDE w:val="0"/>
              <w:autoSpaceDN w:val="0"/>
              <w:adjustRightInd w:val="0"/>
              <w:rPr>
                <w:rFonts w:ascii="Arial" w:hAnsi="Arial" w:cs="Arial"/>
                <w:sz w:val="20"/>
                <w:szCs w:val="20"/>
              </w:rPr>
            </w:pPr>
          </w:p>
          <w:p w:rsidR="00FC793B" w:rsidRPr="006E6EDC" w:rsidRDefault="00FC793B" w:rsidP="0074319B">
            <w:pPr>
              <w:pStyle w:val="ListParagraph"/>
              <w:numPr>
                <w:ilvl w:val="0"/>
                <w:numId w:val="15"/>
              </w:numPr>
              <w:autoSpaceDE w:val="0"/>
              <w:autoSpaceDN w:val="0"/>
              <w:adjustRightInd w:val="0"/>
              <w:ind w:left="376"/>
              <w:jc w:val="both"/>
              <w:rPr>
                <w:rFonts w:ascii="Arial" w:hAnsi="Arial" w:cs="Arial"/>
                <w:sz w:val="20"/>
                <w:szCs w:val="20"/>
              </w:rPr>
            </w:pPr>
            <w:r w:rsidRPr="006E6EDC">
              <w:rPr>
                <w:rFonts w:ascii="Arial" w:hAnsi="Arial" w:cs="Arial"/>
                <w:sz w:val="20"/>
                <w:szCs w:val="20"/>
              </w:rPr>
              <w:t xml:space="preserve">Consumer Protection has recently received several enquiries regarding the financial obligations of tenants who break their fixed term tenancy agreements.  Pursuant to section 60 of the </w:t>
            </w:r>
            <w:r w:rsidRPr="006E6EDC">
              <w:rPr>
                <w:rFonts w:ascii="Arial" w:hAnsi="Arial" w:cs="Arial"/>
                <w:i/>
                <w:iCs/>
                <w:sz w:val="20"/>
                <w:szCs w:val="20"/>
              </w:rPr>
              <w:t xml:space="preserve">Residential Tenancies Act 1987 </w:t>
            </w:r>
            <w:r w:rsidRPr="006E6EDC">
              <w:rPr>
                <w:rFonts w:ascii="Arial" w:hAnsi="Arial" w:cs="Arial"/>
                <w:sz w:val="20"/>
                <w:szCs w:val="20"/>
              </w:rPr>
              <w:t>(the Act), a tenant and owner/agent may terminate a fixed-term tenancy before its expiry date. Such agreements must be in writing.</w:t>
            </w:r>
          </w:p>
          <w:p w:rsidR="00FC793B" w:rsidRPr="006E6EDC" w:rsidRDefault="00FC793B" w:rsidP="00FC793B">
            <w:pPr>
              <w:pStyle w:val="ListParagraph"/>
              <w:rPr>
                <w:rFonts w:ascii="Arial" w:hAnsi="Arial" w:cs="Arial"/>
                <w:sz w:val="20"/>
                <w:szCs w:val="20"/>
              </w:rPr>
            </w:pPr>
          </w:p>
          <w:p w:rsidR="00FC793B" w:rsidRPr="006E6EDC" w:rsidRDefault="00FC793B" w:rsidP="0074319B">
            <w:pPr>
              <w:pStyle w:val="ListParagraph"/>
              <w:numPr>
                <w:ilvl w:val="0"/>
                <w:numId w:val="15"/>
              </w:numPr>
              <w:autoSpaceDE w:val="0"/>
              <w:autoSpaceDN w:val="0"/>
              <w:adjustRightInd w:val="0"/>
              <w:ind w:left="376"/>
              <w:jc w:val="both"/>
              <w:rPr>
                <w:rFonts w:ascii="Arial" w:hAnsi="Arial" w:cs="Arial"/>
                <w:sz w:val="20"/>
                <w:szCs w:val="20"/>
              </w:rPr>
            </w:pPr>
            <w:r w:rsidRPr="006E6EDC">
              <w:rPr>
                <w:rFonts w:ascii="Arial" w:hAnsi="Arial" w:cs="Arial"/>
                <w:sz w:val="20"/>
                <w:szCs w:val="20"/>
              </w:rPr>
              <w:t xml:space="preserve">Consumer Protection is continually faced with the problem of trying to keep track of approximately 10,000 sales representatives registered in WA.  It is a requirement of the </w:t>
            </w:r>
            <w:r w:rsidRPr="006E6EDC">
              <w:rPr>
                <w:rFonts w:ascii="Arial" w:hAnsi="Arial" w:cs="Arial"/>
                <w:i/>
                <w:iCs/>
                <w:sz w:val="20"/>
                <w:szCs w:val="20"/>
              </w:rPr>
              <w:t>Real Estate and Business Agents Act 1978</w:t>
            </w:r>
            <w:r w:rsidRPr="006E6EDC">
              <w:rPr>
                <w:rFonts w:ascii="Arial" w:hAnsi="Arial" w:cs="Arial"/>
                <w:sz w:val="20"/>
                <w:szCs w:val="20"/>
              </w:rPr>
              <w:t xml:space="preserve"> and relevant regulations, that Consumer Protection keeps a register of real estate sales representatives, their residential addresses and employment details.</w:t>
            </w:r>
          </w:p>
          <w:p w:rsidR="00FC793B" w:rsidRPr="006E6EDC" w:rsidRDefault="00FC793B" w:rsidP="00FC793B">
            <w:pPr>
              <w:autoSpaceDE w:val="0"/>
              <w:autoSpaceDN w:val="0"/>
              <w:adjustRightInd w:val="0"/>
              <w:rPr>
                <w:rFonts w:ascii="Arial" w:hAnsi="Arial" w:cs="Arial"/>
                <w:sz w:val="20"/>
                <w:szCs w:val="20"/>
              </w:rPr>
            </w:pPr>
          </w:p>
          <w:p w:rsidR="00FC793B" w:rsidRPr="006E6EDC" w:rsidRDefault="00FC793B" w:rsidP="0074319B">
            <w:pPr>
              <w:pStyle w:val="ListParagraph"/>
              <w:numPr>
                <w:ilvl w:val="0"/>
                <w:numId w:val="15"/>
              </w:numPr>
              <w:autoSpaceDE w:val="0"/>
              <w:autoSpaceDN w:val="0"/>
              <w:adjustRightInd w:val="0"/>
              <w:ind w:left="376"/>
              <w:jc w:val="both"/>
              <w:rPr>
                <w:rFonts w:ascii="Arial" w:hAnsi="Arial" w:cs="Arial"/>
                <w:sz w:val="20"/>
                <w:szCs w:val="20"/>
              </w:rPr>
            </w:pPr>
            <w:r w:rsidRPr="006E6EDC">
              <w:rPr>
                <w:rFonts w:ascii="Arial" w:hAnsi="Arial" w:cs="Arial"/>
                <w:sz w:val="20"/>
                <w:szCs w:val="20"/>
              </w:rPr>
              <w:t>Agents are reminded of their obligation to provide tenants</w:t>
            </w:r>
            <w:r w:rsidR="00EF26CF" w:rsidRPr="006E6EDC">
              <w:rPr>
                <w:rFonts w:ascii="Arial" w:hAnsi="Arial" w:cs="Arial"/>
                <w:sz w:val="20"/>
                <w:szCs w:val="20"/>
              </w:rPr>
              <w:t>,</w:t>
            </w:r>
            <w:r w:rsidRPr="006E6EDC">
              <w:rPr>
                <w:rFonts w:ascii="Arial" w:hAnsi="Arial" w:cs="Arial"/>
                <w:sz w:val="20"/>
                <w:szCs w:val="20"/>
              </w:rPr>
              <w:t xml:space="preserve"> </w:t>
            </w:r>
            <w:r w:rsidR="00EF26CF" w:rsidRPr="006E6EDC">
              <w:rPr>
                <w:rFonts w:ascii="Arial" w:hAnsi="Arial" w:cs="Arial"/>
                <w:sz w:val="20"/>
                <w:szCs w:val="20"/>
              </w:rPr>
              <w:t xml:space="preserve">in writing, </w:t>
            </w:r>
            <w:r w:rsidRPr="006E6EDC">
              <w:rPr>
                <w:rFonts w:ascii="Arial" w:hAnsi="Arial" w:cs="Arial"/>
                <w:sz w:val="20"/>
                <w:szCs w:val="20"/>
              </w:rPr>
              <w:t xml:space="preserve">the property owners’ full name and residential address. </w:t>
            </w:r>
          </w:p>
          <w:p w:rsidR="0018296B" w:rsidRPr="006E6EDC" w:rsidRDefault="000A5F9A" w:rsidP="000A5F9A">
            <w:pPr>
              <w:pStyle w:val="ListParagraph"/>
              <w:autoSpaceDE w:val="0"/>
              <w:autoSpaceDN w:val="0"/>
              <w:adjustRightInd w:val="0"/>
              <w:ind w:left="376"/>
              <w:jc w:val="both"/>
              <w:rPr>
                <w:rFonts w:ascii="Arial" w:hAnsi="Arial" w:cs="Arial"/>
                <w:sz w:val="20"/>
                <w:szCs w:val="20"/>
              </w:rPr>
            </w:pPr>
            <w:r w:rsidRPr="006E6EDC">
              <w:rPr>
                <w:rFonts w:ascii="Arial" w:hAnsi="Arial" w:cs="Arial"/>
                <w:sz w:val="20"/>
                <w:szCs w:val="20"/>
              </w:rPr>
              <w:t xml:space="preserve">             </w:t>
            </w:r>
          </w:p>
        </w:tc>
      </w:tr>
    </w:tbl>
    <w:p w:rsidR="00EF26CF" w:rsidRPr="006E6EDC" w:rsidRDefault="00EF26CF" w:rsidP="00170CF6">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B165DC">
        <w:tc>
          <w:tcPr>
            <w:tcW w:w="1361" w:type="dxa"/>
          </w:tcPr>
          <w:p w:rsidR="00EF26CF" w:rsidRPr="006E6EDC" w:rsidRDefault="00EF26CF" w:rsidP="00FF24C6">
            <w:pPr>
              <w:spacing w:before="120" w:after="120"/>
              <w:jc w:val="both"/>
              <w:rPr>
                <w:b/>
                <w:bCs/>
              </w:rPr>
            </w:pPr>
          </w:p>
        </w:tc>
        <w:tc>
          <w:tcPr>
            <w:tcW w:w="3792" w:type="dxa"/>
          </w:tcPr>
          <w:p w:rsidR="00EF26CF" w:rsidRPr="006E6EDC" w:rsidRDefault="00EF26CF" w:rsidP="00EF26CF">
            <w:pPr>
              <w:pStyle w:val="ListParagraph"/>
              <w:tabs>
                <w:tab w:val="right" w:pos="2540"/>
              </w:tabs>
              <w:spacing w:before="120"/>
              <w:ind w:left="482" w:right="-16"/>
              <w:jc w:val="both"/>
              <w:rPr>
                <w:rFonts w:ascii="Arial" w:hAnsi="Arial" w:cs="Arial"/>
                <w:b/>
                <w:sz w:val="20"/>
                <w:szCs w:val="20"/>
              </w:rPr>
            </w:pPr>
          </w:p>
        </w:tc>
        <w:tc>
          <w:tcPr>
            <w:tcW w:w="9824" w:type="dxa"/>
          </w:tcPr>
          <w:p w:rsidR="00170CF6" w:rsidRPr="006E6EDC" w:rsidRDefault="00170CF6" w:rsidP="00170CF6">
            <w:pPr>
              <w:pStyle w:val="ListParagraph"/>
              <w:ind w:left="376"/>
              <w:jc w:val="both"/>
              <w:rPr>
                <w:rFonts w:ascii="Arial" w:hAnsi="Arial" w:cs="Arial"/>
                <w:sz w:val="20"/>
                <w:szCs w:val="20"/>
              </w:rPr>
            </w:pPr>
          </w:p>
          <w:p w:rsidR="005D2156" w:rsidRPr="006E6EDC" w:rsidRDefault="008E61D7" w:rsidP="005D2156">
            <w:pPr>
              <w:pStyle w:val="ListParagraph"/>
              <w:numPr>
                <w:ilvl w:val="0"/>
                <w:numId w:val="15"/>
              </w:numPr>
              <w:autoSpaceDE w:val="0"/>
              <w:autoSpaceDN w:val="0"/>
              <w:adjustRightInd w:val="0"/>
              <w:ind w:left="376"/>
              <w:jc w:val="both"/>
              <w:rPr>
                <w:rFonts w:ascii="Arial" w:hAnsi="Arial" w:cs="Arial"/>
                <w:sz w:val="20"/>
                <w:szCs w:val="20"/>
              </w:rPr>
            </w:pPr>
            <w:r w:rsidRPr="006E6EDC">
              <w:rPr>
                <w:rFonts w:ascii="Arial" w:hAnsi="Arial" w:cs="Arial"/>
                <w:sz w:val="20"/>
                <w:szCs w:val="20"/>
              </w:rPr>
              <w:t xml:space="preserve">Our </w:t>
            </w:r>
            <w:r w:rsidR="006719F6" w:rsidRPr="006E6EDC">
              <w:rPr>
                <w:rFonts w:ascii="Arial" w:hAnsi="Arial" w:cs="Arial"/>
                <w:sz w:val="20"/>
                <w:szCs w:val="20"/>
              </w:rPr>
              <w:t>registered Consumer</w:t>
            </w:r>
            <w:r w:rsidR="005D2156" w:rsidRPr="006E6EDC">
              <w:rPr>
                <w:rFonts w:ascii="Arial" w:hAnsi="Arial" w:cs="Arial"/>
                <w:sz w:val="20"/>
                <w:szCs w:val="20"/>
              </w:rPr>
              <w:t xml:space="preserve"> Protection has introduced shortened webpage addresses to make the user experience more efficient.  The new shortened URLs are listed below. Please note that typing in the longer URL would also still take you to the desired webpage.</w:t>
            </w:r>
          </w:p>
          <w:p w:rsidR="005D2156" w:rsidRPr="006E6EDC" w:rsidRDefault="005D2156" w:rsidP="005D2156">
            <w:pPr>
              <w:autoSpaceDE w:val="0"/>
              <w:autoSpaceDN w:val="0"/>
              <w:adjustRightInd w:val="0"/>
              <w:ind w:left="376"/>
              <w:jc w:val="both"/>
              <w:rPr>
                <w:rFonts w:ascii="Arial" w:hAnsi="Arial" w:cs="Arial"/>
                <w:sz w:val="20"/>
                <w:szCs w:val="20"/>
              </w:rPr>
            </w:pPr>
          </w:p>
          <w:p w:rsidR="005D2156" w:rsidRPr="006E6EDC" w:rsidRDefault="005D2156" w:rsidP="005D2156">
            <w:pPr>
              <w:pStyle w:val="ListParagraph"/>
              <w:numPr>
                <w:ilvl w:val="0"/>
                <w:numId w:val="15"/>
              </w:numPr>
              <w:autoSpaceDE w:val="0"/>
              <w:autoSpaceDN w:val="0"/>
              <w:adjustRightInd w:val="0"/>
              <w:ind w:left="376"/>
              <w:jc w:val="both"/>
              <w:rPr>
                <w:rFonts w:ascii="Arial" w:hAnsi="Arial" w:cs="Arial"/>
                <w:sz w:val="20"/>
                <w:szCs w:val="20"/>
              </w:rPr>
            </w:pPr>
            <w:r w:rsidRPr="006E6EDC">
              <w:rPr>
                <w:rFonts w:ascii="Arial" w:hAnsi="Arial" w:cs="Arial"/>
                <w:sz w:val="20"/>
                <w:szCs w:val="20"/>
              </w:rPr>
              <w:t xml:space="preserve">Are you aware the </w:t>
            </w:r>
            <w:r w:rsidRPr="006E6EDC">
              <w:rPr>
                <w:rFonts w:ascii="Arial" w:hAnsi="Arial" w:cs="Arial"/>
                <w:i/>
                <w:iCs/>
                <w:sz w:val="20"/>
                <w:szCs w:val="20"/>
              </w:rPr>
              <w:t xml:space="preserve">Real Estate and Business Agent Act </w:t>
            </w:r>
            <w:r w:rsidRPr="006E6EDC">
              <w:rPr>
                <w:rFonts w:ascii="Arial" w:hAnsi="Arial" w:cs="Arial"/>
                <w:sz w:val="20"/>
                <w:szCs w:val="20"/>
              </w:rPr>
              <w:t xml:space="preserve">(the Act) places certain obligations on developers? If you are engaged by a developer to sell on their behalf, we encourage you to forward this article to them. </w:t>
            </w:r>
          </w:p>
          <w:p w:rsidR="005D2156" w:rsidRPr="006E6EDC" w:rsidRDefault="005D2156" w:rsidP="005D2156">
            <w:pPr>
              <w:autoSpaceDE w:val="0"/>
              <w:autoSpaceDN w:val="0"/>
              <w:adjustRightInd w:val="0"/>
              <w:jc w:val="both"/>
              <w:rPr>
                <w:rFonts w:ascii="Arial" w:hAnsi="Arial" w:cs="Arial"/>
                <w:sz w:val="20"/>
                <w:szCs w:val="20"/>
              </w:rPr>
            </w:pPr>
            <w:r w:rsidRPr="006E6EDC">
              <w:rPr>
                <w:rFonts w:ascii="Arial" w:hAnsi="Arial" w:cs="Arial"/>
                <w:sz w:val="20"/>
                <w:szCs w:val="20"/>
              </w:rPr>
              <w:t xml:space="preserve"> </w:t>
            </w:r>
          </w:p>
          <w:p w:rsidR="005D2156" w:rsidRPr="006E6EDC" w:rsidRDefault="000E7172" w:rsidP="005D2156">
            <w:pPr>
              <w:pStyle w:val="ListParagraph"/>
              <w:numPr>
                <w:ilvl w:val="0"/>
                <w:numId w:val="15"/>
              </w:numPr>
              <w:autoSpaceDE w:val="0"/>
              <w:autoSpaceDN w:val="0"/>
              <w:adjustRightInd w:val="0"/>
              <w:ind w:left="376"/>
              <w:jc w:val="both"/>
              <w:rPr>
                <w:rFonts w:ascii="Arial" w:hAnsi="Arial" w:cs="Arial"/>
                <w:sz w:val="20"/>
                <w:szCs w:val="20"/>
              </w:rPr>
            </w:pPr>
            <w:r>
              <w:rPr>
                <w:rFonts w:ascii="Arial" w:hAnsi="Arial" w:cs="Arial"/>
                <w:sz w:val="20"/>
                <w:szCs w:val="20"/>
                <w:highlight w:val="yellow"/>
              </w:rPr>
              <w:t xml:space="preserve">Removed </w:t>
            </w:r>
            <w:bookmarkStart w:id="0" w:name="_GoBack"/>
            <w:bookmarkEnd w:id="0"/>
            <w:r>
              <w:rPr>
                <w:rFonts w:ascii="Arial" w:hAnsi="Arial" w:cs="Arial"/>
                <w:sz w:val="20"/>
                <w:szCs w:val="20"/>
                <w:highlight w:val="yellow"/>
              </w:rPr>
              <w:t>16/05/19</w:t>
            </w:r>
          </w:p>
          <w:p w:rsidR="005D2156" w:rsidRPr="006E6EDC" w:rsidRDefault="005D2156" w:rsidP="005D2156">
            <w:pPr>
              <w:pStyle w:val="ListParagraph"/>
              <w:jc w:val="both"/>
              <w:rPr>
                <w:rFonts w:ascii="Arial" w:hAnsi="Arial" w:cs="Arial"/>
                <w:sz w:val="20"/>
                <w:szCs w:val="20"/>
              </w:rPr>
            </w:pPr>
          </w:p>
          <w:p w:rsidR="008E61D7" w:rsidRPr="006E6EDC" w:rsidRDefault="005D2156" w:rsidP="0074319B">
            <w:pPr>
              <w:pStyle w:val="ListParagraph"/>
              <w:numPr>
                <w:ilvl w:val="0"/>
                <w:numId w:val="15"/>
              </w:numPr>
              <w:autoSpaceDE w:val="0"/>
              <w:autoSpaceDN w:val="0"/>
              <w:adjustRightInd w:val="0"/>
              <w:ind w:left="376"/>
              <w:jc w:val="both"/>
              <w:rPr>
                <w:rFonts w:ascii="Arial" w:hAnsi="Arial" w:cs="Arial"/>
                <w:sz w:val="20"/>
                <w:szCs w:val="20"/>
              </w:rPr>
            </w:pPr>
            <w:r>
              <w:rPr>
                <w:rFonts w:ascii="Arial" w:hAnsi="Arial" w:cs="Arial"/>
                <w:sz w:val="20"/>
                <w:szCs w:val="20"/>
              </w:rPr>
              <w:t>T</w:t>
            </w:r>
            <w:r w:rsidR="008E61D7" w:rsidRPr="006E6EDC">
              <w:rPr>
                <w:rFonts w:ascii="Arial" w:hAnsi="Arial" w:cs="Arial"/>
                <w:sz w:val="20"/>
                <w:szCs w:val="20"/>
              </w:rPr>
              <w:t>raining providers are currently holding mandatory Compulsory Professional Development (CPD) courses covering amendments to the Residential Tenancies Act. The amendments contain important ramifications for the industry so Consumer Protections recommends Property Managers attend a course at their earliest possible convenience</w:t>
            </w:r>
          </w:p>
          <w:p w:rsidR="00EF26CF" w:rsidRPr="006E6EDC" w:rsidRDefault="00EF26CF" w:rsidP="00EF26CF">
            <w:pPr>
              <w:pStyle w:val="ListParagraph"/>
              <w:ind w:left="376"/>
              <w:jc w:val="both"/>
              <w:rPr>
                <w:rFonts w:ascii="Arial" w:hAnsi="Arial" w:cs="Arial"/>
                <w:sz w:val="20"/>
                <w:szCs w:val="20"/>
              </w:rPr>
            </w:pPr>
          </w:p>
          <w:p w:rsidR="008E61D7" w:rsidRPr="006E6EDC" w:rsidRDefault="008E61D7" w:rsidP="0074319B">
            <w:pPr>
              <w:pStyle w:val="ListParagraph"/>
              <w:numPr>
                <w:ilvl w:val="0"/>
                <w:numId w:val="15"/>
              </w:numPr>
              <w:autoSpaceDE w:val="0"/>
              <w:autoSpaceDN w:val="0"/>
              <w:adjustRightInd w:val="0"/>
              <w:ind w:left="376"/>
              <w:jc w:val="both"/>
              <w:rPr>
                <w:rFonts w:ascii="Arial" w:hAnsi="Arial" w:cs="Arial"/>
                <w:sz w:val="20"/>
                <w:szCs w:val="20"/>
              </w:rPr>
            </w:pPr>
            <w:r w:rsidRPr="006E6EDC">
              <w:rPr>
                <w:rFonts w:ascii="Arial" w:hAnsi="Arial" w:cs="Arial"/>
                <w:sz w:val="20"/>
                <w:szCs w:val="20"/>
              </w:rPr>
              <w:t>WA small businesses can now access a low-cost way to resolve disputes, through the introduction of a Small Business Commissioner and the Alternative Dispute Resolution (ADR) service.  The ADR service, which came into operation March 2012, provides small businesses with a way to deal with disputes without the need for legal action. This means small businesses have an opportunity to resolve problems before they reach the State Administrative Tribunal or the courts.</w:t>
            </w:r>
          </w:p>
          <w:p w:rsidR="008E61D7" w:rsidRPr="006E6EDC" w:rsidRDefault="008E61D7" w:rsidP="008E61D7">
            <w:pPr>
              <w:autoSpaceDE w:val="0"/>
              <w:autoSpaceDN w:val="0"/>
              <w:adjustRightInd w:val="0"/>
              <w:rPr>
                <w:rFonts w:ascii="HelveticaNeue-Light" w:hAnsi="HelveticaNeue-Light" w:cs="HelveticaNeue-Light"/>
                <w:sz w:val="19"/>
                <w:szCs w:val="19"/>
              </w:rPr>
            </w:pPr>
          </w:p>
          <w:p w:rsidR="00EF26CF" w:rsidRPr="006E6EDC" w:rsidRDefault="00EF26CF" w:rsidP="008E61D7">
            <w:pPr>
              <w:autoSpaceDE w:val="0"/>
              <w:autoSpaceDN w:val="0"/>
              <w:adjustRightInd w:val="0"/>
              <w:ind w:left="16"/>
              <w:jc w:val="both"/>
              <w:rPr>
                <w:rFonts w:cstheme="minorHAnsi"/>
                <w:sz w:val="16"/>
                <w:szCs w:val="16"/>
              </w:rPr>
            </w:pPr>
          </w:p>
        </w:tc>
      </w:tr>
    </w:tbl>
    <w:p w:rsidR="00FF24C6" w:rsidRPr="006E6EDC" w:rsidRDefault="00FF24C6" w:rsidP="00FF24C6">
      <w:pPr>
        <w:spacing w:after="0"/>
      </w:pPr>
    </w:p>
    <w:p w:rsidR="00FF24C6" w:rsidRPr="006E6EDC" w:rsidRDefault="00FF24C6">
      <w:r w:rsidRPr="006E6EDC">
        <w:br w:type="page"/>
      </w:r>
    </w:p>
    <w:p w:rsidR="00FF24C6" w:rsidRPr="006E6EDC" w:rsidRDefault="00FF24C6" w:rsidP="00FF24C6">
      <w:pPr>
        <w:spacing w:after="0"/>
      </w:pP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164B2D">
        <w:tc>
          <w:tcPr>
            <w:tcW w:w="1361" w:type="dxa"/>
            <w:shd w:val="clear" w:color="auto" w:fill="D9D9D9" w:themeFill="background1" w:themeFillShade="D9"/>
          </w:tcPr>
          <w:p w:rsidR="00FF24C6" w:rsidRPr="006E6EDC" w:rsidRDefault="00FF24C6" w:rsidP="00164B2D">
            <w:pPr>
              <w:spacing w:before="60" w:after="60"/>
              <w:rPr>
                <w:b/>
                <w:sz w:val="24"/>
                <w:szCs w:val="24"/>
              </w:rPr>
            </w:pPr>
            <w:r w:rsidRPr="006E6EDC">
              <w:rPr>
                <w:b/>
                <w:sz w:val="24"/>
                <w:szCs w:val="24"/>
              </w:rPr>
              <w:t>DATE / NO.</w:t>
            </w:r>
          </w:p>
        </w:tc>
        <w:tc>
          <w:tcPr>
            <w:tcW w:w="3792" w:type="dxa"/>
            <w:shd w:val="clear" w:color="auto" w:fill="D9D9D9" w:themeFill="background1" w:themeFillShade="D9"/>
          </w:tcPr>
          <w:p w:rsidR="00FF24C6" w:rsidRPr="006E6EDC" w:rsidRDefault="00FF24C6" w:rsidP="00164B2D">
            <w:pPr>
              <w:spacing w:before="60" w:after="60"/>
              <w:rPr>
                <w:b/>
                <w:sz w:val="24"/>
                <w:szCs w:val="24"/>
              </w:rPr>
            </w:pPr>
            <w:r w:rsidRPr="006E6EDC">
              <w:rPr>
                <w:b/>
                <w:sz w:val="24"/>
                <w:szCs w:val="24"/>
              </w:rPr>
              <w:t xml:space="preserve">ISSUE / TITLE </w:t>
            </w:r>
          </w:p>
        </w:tc>
        <w:tc>
          <w:tcPr>
            <w:tcW w:w="9824" w:type="dxa"/>
            <w:shd w:val="clear" w:color="auto" w:fill="D9D9D9" w:themeFill="background1" w:themeFillShade="D9"/>
          </w:tcPr>
          <w:p w:rsidR="00FF24C6" w:rsidRPr="006E6EDC" w:rsidRDefault="00FF24C6" w:rsidP="00164B2D">
            <w:pPr>
              <w:spacing w:before="60" w:after="60"/>
              <w:rPr>
                <w:b/>
                <w:sz w:val="24"/>
                <w:szCs w:val="24"/>
              </w:rPr>
            </w:pPr>
            <w:r w:rsidRPr="006E6EDC">
              <w:rPr>
                <w:b/>
                <w:sz w:val="24"/>
                <w:szCs w:val="24"/>
              </w:rPr>
              <w:t>CONTENT SUMMARY</w:t>
            </w:r>
          </w:p>
        </w:tc>
      </w:tr>
      <w:tr w:rsidR="006E6EDC" w:rsidRPr="006E6EDC" w:rsidTr="00B165DC">
        <w:tc>
          <w:tcPr>
            <w:tcW w:w="1361" w:type="dxa"/>
          </w:tcPr>
          <w:p w:rsidR="00FF24C6" w:rsidRPr="006E6EDC" w:rsidRDefault="00164B2D" w:rsidP="00FF24C6">
            <w:pPr>
              <w:spacing w:before="120" w:after="120"/>
              <w:jc w:val="both"/>
            </w:pPr>
            <w:r w:rsidRPr="006E6EDC">
              <w:rPr>
                <w:b/>
                <w:bCs/>
              </w:rPr>
              <w:t>Summer 2012</w:t>
            </w:r>
          </w:p>
          <w:p w:rsidR="00FF24C6" w:rsidRPr="006E6EDC" w:rsidRDefault="00FF24C6" w:rsidP="00FF24C6">
            <w:pPr>
              <w:spacing w:before="120" w:after="120"/>
              <w:jc w:val="both"/>
              <w:rPr>
                <w:b/>
                <w:bCs/>
              </w:rPr>
            </w:pPr>
            <w:r w:rsidRPr="006E6EDC">
              <w:rPr>
                <w:b/>
                <w:bCs/>
              </w:rPr>
              <w:t xml:space="preserve">No. </w:t>
            </w:r>
            <w:r w:rsidR="00164B2D" w:rsidRPr="006E6EDC">
              <w:rPr>
                <w:b/>
                <w:bCs/>
              </w:rPr>
              <w:t>2</w:t>
            </w:r>
          </w:p>
          <w:p w:rsidR="00FF24C6" w:rsidRPr="006E6EDC" w:rsidRDefault="00FF24C6" w:rsidP="00FF24C6">
            <w:pPr>
              <w:spacing w:before="120"/>
              <w:jc w:val="both"/>
            </w:pPr>
          </w:p>
        </w:tc>
        <w:tc>
          <w:tcPr>
            <w:tcW w:w="3792" w:type="dxa"/>
          </w:tcPr>
          <w:p w:rsidR="00246EB4" w:rsidRPr="006E6EDC" w:rsidRDefault="00246EB4" w:rsidP="0074319B">
            <w:pPr>
              <w:pStyle w:val="ListParagraph"/>
              <w:numPr>
                <w:ilvl w:val="0"/>
                <w:numId w:val="4"/>
              </w:numPr>
              <w:tabs>
                <w:tab w:val="right" w:pos="2540"/>
              </w:tabs>
              <w:spacing w:before="120" w:after="120"/>
              <w:ind w:left="340" w:right="-16"/>
              <w:rPr>
                <w:rFonts w:ascii="Arial" w:hAnsi="Arial" w:cs="Arial"/>
                <w:b/>
                <w:strike/>
                <w:sz w:val="20"/>
                <w:szCs w:val="20"/>
              </w:rPr>
            </w:pPr>
            <w:r w:rsidRPr="006E6EDC">
              <w:rPr>
                <w:rFonts w:ascii="Arial" w:hAnsi="Arial" w:cs="Arial"/>
                <w:b/>
                <w:strike/>
                <w:sz w:val="20"/>
                <w:szCs w:val="20"/>
              </w:rPr>
              <w:t>A new year message from the Commissioner</w:t>
            </w:r>
          </w:p>
          <w:p w:rsidR="00610642" w:rsidRPr="006E6EDC" w:rsidRDefault="00610642" w:rsidP="00E143F0">
            <w:pPr>
              <w:pStyle w:val="ListParagraph"/>
              <w:tabs>
                <w:tab w:val="right" w:pos="2540"/>
              </w:tabs>
              <w:spacing w:before="120" w:after="120"/>
              <w:ind w:left="340" w:right="-16"/>
              <w:rPr>
                <w:rFonts w:ascii="Arial" w:hAnsi="Arial" w:cs="Arial"/>
                <w:b/>
                <w:strike/>
                <w:sz w:val="20"/>
                <w:szCs w:val="20"/>
              </w:rPr>
            </w:pPr>
          </w:p>
          <w:p w:rsidR="00610642" w:rsidRPr="006E6EDC" w:rsidRDefault="00610642" w:rsidP="0074319B">
            <w:pPr>
              <w:pStyle w:val="ListParagraph"/>
              <w:numPr>
                <w:ilvl w:val="0"/>
                <w:numId w:val="4"/>
              </w:numPr>
              <w:tabs>
                <w:tab w:val="right" w:pos="2540"/>
              </w:tabs>
              <w:spacing w:before="120" w:after="120"/>
              <w:ind w:left="340" w:right="-16"/>
              <w:rPr>
                <w:rFonts w:ascii="Arial" w:hAnsi="Arial" w:cs="Arial"/>
                <w:b/>
                <w:sz w:val="20"/>
                <w:szCs w:val="20"/>
              </w:rPr>
            </w:pPr>
            <w:r w:rsidRPr="006E6EDC">
              <w:rPr>
                <w:rFonts w:ascii="Arial" w:hAnsi="Arial" w:cs="Arial"/>
                <w:b/>
                <w:sz w:val="20"/>
                <w:szCs w:val="20"/>
              </w:rPr>
              <w:t>Advertising your own services</w:t>
            </w:r>
          </w:p>
          <w:p w:rsidR="00610642" w:rsidRPr="006E6EDC" w:rsidRDefault="00610642" w:rsidP="00E143F0">
            <w:pPr>
              <w:pStyle w:val="ListParagraph"/>
              <w:ind w:left="340"/>
              <w:rPr>
                <w:rFonts w:ascii="Arial" w:hAnsi="Arial" w:cs="Arial"/>
                <w:b/>
                <w:sz w:val="20"/>
                <w:szCs w:val="20"/>
              </w:rPr>
            </w:pPr>
          </w:p>
          <w:p w:rsidR="00610642" w:rsidRPr="006E6EDC" w:rsidRDefault="00610642" w:rsidP="0074319B">
            <w:pPr>
              <w:pStyle w:val="ListParagraph"/>
              <w:numPr>
                <w:ilvl w:val="0"/>
                <w:numId w:val="4"/>
              </w:numPr>
              <w:tabs>
                <w:tab w:val="right" w:pos="2540"/>
              </w:tabs>
              <w:spacing w:before="120" w:after="120"/>
              <w:ind w:left="340" w:right="-16"/>
              <w:rPr>
                <w:rFonts w:ascii="Arial" w:hAnsi="Arial" w:cs="Arial"/>
                <w:b/>
                <w:sz w:val="20"/>
                <w:szCs w:val="20"/>
              </w:rPr>
            </w:pPr>
            <w:r w:rsidRPr="006E6EDC">
              <w:rPr>
                <w:rFonts w:ascii="Arial" w:hAnsi="Arial" w:cs="Arial"/>
                <w:b/>
                <w:sz w:val="20"/>
                <w:szCs w:val="20"/>
              </w:rPr>
              <w:t>New Seniors’ Housing Centre offers options for over 55s</w:t>
            </w:r>
          </w:p>
          <w:p w:rsidR="00610642" w:rsidRPr="006E6EDC" w:rsidRDefault="00610642" w:rsidP="00E143F0">
            <w:pPr>
              <w:pStyle w:val="ListParagraph"/>
              <w:tabs>
                <w:tab w:val="right" w:pos="2540"/>
              </w:tabs>
              <w:spacing w:before="120" w:after="120"/>
              <w:ind w:left="340" w:right="-16"/>
              <w:rPr>
                <w:rFonts w:ascii="Arial" w:hAnsi="Arial" w:cs="Arial"/>
                <w:b/>
                <w:sz w:val="20"/>
                <w:szCs w:val="20"/>
              </w:rPr>
            </w:pPr>
          </w:p>
          <w:p w:rsidR="00610642" w:rsidRPr="006E6EDC" w:rsidRDefault="00610642" w:rsidP="0074319B">
            <w:pPr>
              <w:pStyle w:val="ListParagraph"/>
              <w:numPr>
                <w:ilvl w:val="0"/>
                <w:numId w:val="4"/>
              </w:numPr>
              <w:tabs>
                <w:tab w:val="right" w:pos="2540"/>
              </w:tabs>
              <w:spacing w:before="120" w:after="120"/>
              <w:ind w:left="340" w:right="-16"/>
              <w:rPr>
                <w:rFonts w:ascii="Arial" w:hAnsi="Arial" w:cs="Arial"/>
                <w:b/>
                <w:sz w:val="20"/>
                <w:szCs w:val="20"/>
              </w:rPr>
            </w:pPr>
            <w:r w:rsidRPr="006E6EDC">
              <w:rPr>
                <w:rFonts w:ascii="Arial" w:hAnsi="Arial" w:cs="Arial"/>
                <w:b/>
                <w:sz w:val="20"/>
                <w:szCs w:val="20"/>
              </w:rPr>
              <w:t>Compulsory Professional Development in 2012</w:t>
            </w:r>
          </w:p>
          <w:p w:rsidR="00610642" w:rsidRPr="006E6EDC" w:rsidRDefault="00610642" w:rsidP="00E143F0">
            <w:pPr>
              <w:pStyle w:val="ListParagraph"/>
              <w:tabs>
                <w:tab w:val="right" w:pos="2540"/>
              </w:tabs>
              <w:spacing w:before="120" w:after="120"/>
              <w:ind w:left="340" w:right="-16"/>
              <w:rPr>
                <w:rFonts w:ascii="Arial" w:hAnsi="Arial" w:cs="Arial"/>
                <w:b/>
                <w:sz w:val="20"/>
                <w:szCs w:val="20"/>
              </w:rPr>
            </w:pPr>
          </w:p>
          <w:p w:rsidR="00610642" w:rsidRPr="006E6EDC" w:rsidRDefault="00610642" w:rsidP="0074319B">
            <w:pPr>
              <w:pStyle w:val="ListParagraph"/>
              <w:numPr>
                <w:ilvl w:val="0"/>
                <w:numId w:val="4"/>
              </w:numPr>
              <w:tabs>
                <w:tab w:val="right" w:pos="2540"/>
              </w:tabs>
              <w:spacing w:before="120" w:after="120"/>
              <w:ind w:left="340" w:right="-16"/>
              <w:rPr>
                <w:rFonts w:ascii="Arial" w:hAnsi="Arial" w:cs="Arial"/>
                <w:b/>
                <w:sz w:val="20"/>
                <w:szCs w:val="20"/>
              </w:rPr>
            </w:pPr>
            <w:r w:rsidRPr="006E6EDC">
              <w:rPr>
                <w:rFonts w:ascii="Arial" w:hAnsi="Arial" w:cs="Arial"/>
                <w:b/>
                <w:sz w:val="20"/>
                <w:szCs w:val="20"/>
              </w:rPr>
              <w:t>Checking employee details</w:t>
            </w:r>
          </w:p>
          <w:p w:rsidR="00610642" w:rsidRPr="006E6EDC" w:rsidRDefault="00610642" w:rsidP="00E143F0">
            <w:pPr>
              <w:pStyle w:val="ListParagraph"/>
              <w:tabs>
                <w:tab w:val="right" w:pos="2540"/>
              </w:tabs>
              <w:spacing w:before="120" w:after="120"/>
              <w:ind w:left="340" w:right="-16"/>
              <w:rPr>
                <w:rFonts w:ascii="Arial" w:hAnsi="Arial" w:cs="Arial"/>
                <w:b/>
                <w:sz w:val="20"/>
                <w:szCs w:val="20"/>
              </w:rPr>
            </w:pPr>
          </w:p>
          <w:p w:rsidR="00610642" w:rsidRPr="006E6EDC" w:rsidRDefault="00610642" w:rsidP="0074319B">
            <w:pPr>
              <w:pStyle w:val="ListParagraph"/>
              <w:numPr>
                <w:ilvl w:val="0"/>
                <w:numId w:val="4"/>
              </w:numPr>
              <w:tabs>
                <w:tab w:val="right" w:pos="2540"/>
              </w:tabs>
              <w:spacing w:before="120" w:after="120"/>
              <w:ind w:left="340" w:right="-16"/>
              <w:rPr>
                <w:rFonts w:ascii="Arial" w:hAnsi="Arial" w:cs="Arial"/>
                <w:b/>
                <w:sz w:val="20"/>
                <w:szCs w:val="20"/>
              </w:rPr>
            </w:pPr>
            <w:r w:rsidRPr="006E6EDC">
              <w:rPr>
                <w:rFonts w:ascii="Arial" w:hAnsi="Arial" w:cs="Arial"/>
                <w:b/>
                <w:sz w:val="20"/>
                <w:szCs w:val="20"/>
              </w:rPr>
              <w:t>Property manager to sales representative</w:t>
            </w:r>
          </w:p>
          <w:p w:rsidR="00610642" w:rsidRPr="006E6EDC" w:rsidRDefault="00610642" w:rsidP="00E143F0">
            <w:pPr>
              <w:pStyle w:val="ListParagraph"/>
              <w:ind w:left="340"/>
              <w:rPr>
                <w:rFonts w:ascii="Arial" w:hAnsi="Arial" w:cs="Arial"/>
                <w:b/>
                <w:sz w:val="20"/>
                <w:szCs w:val="20"/>
              </w:rPr>
            </w:pPr>
          </w:p>
          <w:p w:rsidR="00610642" w:rsidRPr="006E6EDC" w:rsidRDefault="00610642" w:rsidP="0074319B">
            <w:pPr>
              <w:pStyle w:val="ListParagraph"/>
              <w:numPr>
                <w:ilvl w:val="0"/>
                <w:numId w:val="4"/>
              </w:numPr>
              <w:tabs>
                <w:tab w:val="right" w:pos="2540"/>
              </w:tabs>
              <w:spacing w:before="120" w:after="120"/>
              <w:ind w:left="340" w:right="-16"/>
              <w:rPr>
                <w:rFonts w:ascii="Arial" w:hAnsi="Arial" w:cs="Arial"/>
                <w:b/>
                <w:sz w:val="20"/>
                <w:szCs w:val="20"/>
              </w:rPr>
            </w:pPr>
            <w:r w:rsidRPr="006E6EDC">
              <w:rPr>
                <w:rFonts w:ascii="Arial" w:hAnsi="Arial" w:cs="Arial"/>
                <w:b/>
                <w:sz w:val="20"/>
                <w:szCs w:val="20"/>
              </w:rPr>
              <w:t xml:space="preserve">Updating your details with Consumer Protection </w:t>
            </w:r>
          </w:p>
          <w:p w:rsidR="00610642" w:rsidRPr="006E6EDC" w:rsidRDefault="00610642" w:rsidP="00E143F0">
            <w:pPr>
              <w:pStyle w:val="ListParagraph"/>
              <w:ind w:left="340"/>
              <w:rPr>
                <w:rFonts w:ascii="Arial" w:hAnsi="Arial" w:cs="Arial"/>
                <w:b/>
                <w:sz w:val="20"/>
                <w:szCs w:val="20"/>
              </w:rPr>
            </w:pPr>
          </w:p>
          <w:p w:rsidR="00610642" w:rsidRPr="006E6EDC" w:rsidRDefault="00610642" w:rsidP="0074319B">
            <w:pPr>
              <w:pStyle w:val="ListParagraph"/>
              <w:numPr>
                <w:ilvl w:val="0"/>
                <w:numId w:val="4"/>
              </w:numPr>
              <w:tabs>
                <w:tab w:val="right" w:pos="2540"/>
              </w:tabs>
              <w:spacing w:before="120" w:after="120"/>
              <w:ind w:left="340" w:right="-16"/>
              <w:rPr>
                <w:rFonts w:ascii="Arial" w:hAnsi="Arial" w:cs="Arial"/>
                <w:b/>
                <w:sz w:val="20"/>
                <w:szCs w:val="20"/>
              </w:rPr>
            </w:pPr>
            <w:r w:rsidRPr="006E6EDC">
              <w:rPr>
                <w:rFonts w:ascii="Arial" w:hAnsi="Arial" w:cs="Arial"/>
                <w:b/>
                <w:sz w:val="20"/>
                <w:szCs w:val="20"/>
              </w:rPr>
              <w:t>Make sure you renew on time</w:t>
            </w:r>
          </w:p>
          <w:p w:rsidR="00610642" w:rsidRPr="006E6EDC" w:rsidRDefault="00610642" w:rsidP="00E143F0">
            <w:pPr>
              <w:pStyle w:val="ListParagraph"/>
              <w:ind w:left="340"/>
              <w:rPr>
                <w:rFonts w:ascii="Arial" w:hAnsi="Arial" w:cs="Arial"/>
                <w:b/>
                <w:sz w:val="20"/>
                <w:szCs w:val="20"/>
              </w:rPr>
            </w:pPr>
          </w:p>
          <w:p w:rsidR="00610642" w:rsidRPr="006E6EDC" w:rsidRDefault="00610642" w:rsidP="0074319B">
            <w:pPr>
              <w:pStyle w:val="ListParagraph"/>
              <w:numPr>
                <w:ilvl w:val="0"/>
                <w:numId w:val="4"/>
              </w:numPr>
              <w:tabs>
                <w:tab w:val="right" w:pos="2540"/>
              </w:tabs>
              <w:spacing w:before="120" w:after="120"/>
              <w:ind w:left="340" w:right="-16"/>
              <w:rPr>
                <w:rFonts w:ascii="Arial" w:hAnsi="Arial" w:cs="Arial"/>
                <w:b/>
                <w:sz w:val="20"/>
                <w:szCs w:val="20"/>
              </w:rPr>
            </w:pPr>
            <w:r w:rsidRPr="006E6EDC">
              <w:rPr>
                <w:rFonts w:ascii="Arial" w:hAnsi="Arial" w:cs="Arial"/>
                <w:b/>
                <w:sz w:val="20"/>
                <w:szCs w:val="20"/>
              </w:rPr>
              <w:t>Amendments to residential tenancy laws</w:t>
            </w:r>
          </w:p>
          <w:p w:rsidR="00610642" w:rsidRPr="006E6EDC" w:rsidRDefault="00610642" w:rsidP="00E143F0">
            <w:pPr>
              <w:pStyle w:val="ListParagraph"/>
              <w:ind w:left="340"/>
              <w:rPr>
                <w:rFonts w:ascii="Arial" w:hAnsi="Arial" w:cs="Arial"/>
                <w:b/>
                <w:sz w:val="20"/>
                <w:szCs w:val="20"/>
              </w:rPr>
            </w:pPr>
          </w:p>
          <w:p w:rsidR="00610642" w:rsidRPr="006E6EDC" w:rsidRDefault="00610642" w:rsidP="0074319B">
            <w:pPr>
              <w:pStyle w:val="ListParagraph"/>
              <w:numPr>
                <w:ilvl w:val="0"/>
                <w:numId w:val="4"/>
              </w:numPr>
              <w:tabs>
                <w:tab w:val="right" w:pos="2540"/>
              </w:tabs>
              <w:spacing w:before="120" w:after="120"/>
              <w:ind w:left="340" w:right="-16"/>
              <w:rPr>
                <w:rFonts w:ascii="Arial" w:hAnsi="Arial" w:cs="Arial"/>
                <w:b/>
                <w:sz w:val="20"/>
                <w:szCs w:val="20"/>
              </w:rPr>
            </w:pPr>
            <w:r w:rsidRPr="006E6EDC">
              <w:rPr>
                <w:rFonts w:ascii="Arial" w:hAnsi="Arial" w:cs="Arial"/>
                <w:b/>
                <w:sz w:val="20"/>
                <w:szCs w:val="20"/>
              </w:rPr>
              <w:t>Changes to retail shops tenancy laws to help small business</w:t>
            </w:r>
          </w:p>
          <w:p w:rsidR="00610642" w:rsidRPr="006E6EDC" w:rsidRDefault="00610642" w:rsidP="00E143F0">
            <w:pPr>
              <w:pStyle w:val="ListParagraph"/>
              <w:ind w:left="340"/>
              <w:rPr>
                <w:rFonts w:ascii="Arial" w:hAnsi="Arial" w:cs="Arial"/>
                <w:b/>
                <w:sz w:val="20"/>
                <w:szCs w:val="20"/>
              </w:rPr>
            </w:pPr>
          </w:p>
          <w:p w:rsidR="00246EB4" w:rsidRPr="006E6EDC" w:rsidRDefault="00610642" w:rsidP="0074319B">
            <w:pPr>
              <w:pStyle w:val="ListParagraph"/>
              <w:numPr>
                <w:ilvl w:val="0"/>
                <w:numId w:val="4"/>
              </w:numPr>
              <w:tabs>
                <w:tab w:val="right" w:pos="2540"/>
              </w:tabs>
              <w:spacing w:before="120" w:after="60"/>
              <w:ind w:left="340" w:right="-16"/>
              <w:rPr>
                <w:rFonts w:ascii="Arial" w:hAnsi="Arial" w:cs="Arial"/>
                <w:b/>
                <w:sz w:val="20"/>
                <w:szCs w:val="20"/>
              </w:rPr>
            </w:pPr>
            <w:r w:rsidRPr="006E6EDC">
              <w:rPr>
                <w:rFonts w:ascii="Arial" w:hAnsi="Arial" w:cs="Arial"/>
                <w:b/>
                <w:sz w:val="20"/>
                <w:szCs w:val="20"/>
              </w:rPr>
              <w:t>New bonds lodgement process</w:t>
            </w:r>
          </w:p>
          <w:p w:rsidR="00610642" w:rsidRPr="006E6EDC" w:rsidRDefault="00610642" w:rsidP="00794498">
            <w:pPr>
              <w:tabs>
                <w:tab w:val="right" w:pos="2540"/>
              </w:tabs>
              <w:ind w:right="-16"/>
              <w:jc w:val="both"/>
              <w:rPr>
                <w:rFonts w:cstheme="minorHAnsi"/>
                <w:b/>
              </w:rPr>
            </w:pPr>
          </w:p>
        </w:tc>
        <w:tc>
          <w:tcPr>
            <w:tcW w:w="9824" w:type="dxa"/>
          </w:tcPr>
          <w:p w:rsidR="002E300C" w:rsidRPr="006E6EDC" w:rsidRDefault="00610642" w:rsidP="0074319B">
            <w:pPr>
              <w:pStyle w:val="ListParagraph"/>
              <w:numPr>
                <w:ilvl w:val="0"/>
                <w:numId w:val="5"/>
              </w:numPr>
              <w:tabs>
                <w:tab w:val="right" w:pos="9589"/>
              </w:tabs>
              <w:spacing w:before="120"/>
              <w:ind w:left="376"/>
              <w:jc w:val="both"/>
              <w:rPr>
                <w:rFonts w:ascii="Arial" w:hAnsi="Arial" w:cs="Arial"/>
                <w:sz w:val="20"/>
                <w:szCs w:val="20"/>
              </w:rPr>
            </w:pPr>
            <w:r w:rsidRPr="006E6EDC">
              <w:rPr>
                <w:rFonts w:ascii="Arial" w:hAnsi="Arial" w:cs="Arial"/>
                <w:sz w:val="20"/>
                <w:szCs w:val="20"/>
              </w:rPr>
              <w:t>Consumer Protection reminds agents and sales representatives of the information they must include in</w:t>
            </w:r>
            <w:r w:rsidR="002E300C" w:rsidRPr="006E6EDC">
              <w:rPr>
                <w:rFonts w:ascii="Arial" w:hAnsi="Arial" w:cs="Arial"/>
                <w:sz w:val="20"/>
                <w:szCs w:val="20"/>
              </w:rPr>
              <w:t xml:space="preserve"> </w:t>
            </w:r>
            <w:r w:rsidRPr="006E6EDC">
              <w:rPr>
                <w:rFonts w:ascii="Arial" w:hAnsi="Arial" w:cs="Arial"/>
                <w:sz w:val="20"/>
                <w:szCs w:val="20"/>
              </w:rPr>
              <w:t>advertisements. Special regard is given to the requirements</w:t>
            </w:r>
            <w:r w:rsidR="002E300C" w:rsidRPr="006E6EDC">
              <w:rPr>
                <w:rFonts w:ascii="Arial" w:hAnsi="Arial" w:cs="Arial"/>
                <w:sz w:val="20"/>
                <w:szCs w:val="20"/>
              </w:rPr>
              <w:t xml:space="preserve"> </w:t>
            </w:r>
            <w:r w:rsidRPr="006E6EDC">
              <w:rPr>
                <w:rFonts w:ascii="Arial" w:hAnsi="Arial" w:cs="Arial"/>
                <w:sz w:val="20"/>
                <w:szCs w:val="20"/>
              </w:rPr>
              <w:t xml:space="preserve">of section 62(2) of the </w:t>
            </w:r>
            <w:r w:rsidRPr="006E6EDC">
              <w:rPr>
                <w:rFonts w:ascii="Arial" w:hAnsi="Arial" w:cs="Arial"/>
                <w:i/>
                <w:iCs/>
                <w:sz w:val="20"/>
                <w:szCs w:val="20"/>
              </w:rPr>
              <w:t>Real Estate and Business Agents Act</w:t>
            </w:r>
            <w:r w:rsidR="002E300C" w:rsidRPr="006E6EDC">
              <w:rPr>
                <w:rFonts w:ascii="Arial" w:hAnsi="Arial" w:cs="Arial"/>
                <w:i/>
                <w:iCs/>
                <w:sz w:val="20"/>
                <w:szCs w:val="20"/>
              </w:rPr>
              <w:t xml:space="preserve"> </w:t>
            </w:r>
            <w:r w:rsidRPr="006E6EDC">
              <w:rPr>
                <w:rFonts w:ascii="Arial" w:hAnsi="Arial" w:cs="Arial"/>
                <w:i/>
                <w:iCs/>
                <w:sz w:val="20"/>
                <w:szCs w:val="20"/>
              </w:rPr>
              <w:t xml:space="preserve">1978 </w:t>
            </w:r>
            <w:r w:rsidRPr="006E6EDC">
              <w:rPr>
                <w:rFonts w:ascii="Arial" w:hAnsi="Arial" w:cs="Arial"/>
                <w:sz w:val="20"/>
                <w:szCs w:val="20"/>
              </w:rPr>
              <w:t>(the Act).</w:t>
            </w:r>
          </w:p>
          <w:p w:rsidR="002E300C" w:rsidRPr="006E6EDC" w:rsidRDefault="002E300C" w:rsidP="002E300C">
            <w:pPr>
              <w:tabs>
                <w:tab w:val="right" w:pos="9589"/>
              </w:tabs>
              <w:jc w:val="both"/>
              <w:rPr>
                <w:rFonts w:ascii="Arial" w:hAnsi="Arial" w:cs="Arial"/>
                <w:sz w:val="20"/>
                <w:szCs w:val="20"/>
              </w:rPr>
            </w:pPr>
          </w:p>
          <w:p w:rsidR="0009584F" w:rsidRPr="006E6EDC" w:rsidRDefault="0009584F" w:rsidP="0074319B">
            <w:pPr>
              <w:pStyle w:val="ListParagraph"/>
              <w:numPr>
                <w:ilvl w:val="0"/>
                <w:numId w:val="5"/>
              </w:numPr>
              <w:tabs>
                <w:tab w:val="right" w:pos="9589"/>
              </w:tabs>
              <w:ind w:left="376"/>
              <w:jc w:val="both"/>
              <w:rPr>
                <w:rFonts w:ascii="Arial" w:hAnsi="Arial" w:cs="Arial"/>
                <w:sz w:val="20"/>
                <w:szCs w:val="20"/>
              </w:rPr>
            </w:pPr>
            <w:r w:rsidRPr="006E6EDC">
              <w:rPr>
                <w:rFonts w:ascii="Arial" w:hAnsi="Arial" w:cs="Arial"/>
                <w:sz w:val="20"/>
                <w:szCs w:val="20"/>
              </w:rPr>
              <w:t>Commerce has launched the Seniors’ Housing Centre providing free information on housing options available to over 55s, from modifying or re-developing existing homes, to moving into strata titled community housing, renting or moving into a residential park or retirement villages.</w:t>
            </w:r>
          </w:p>
          <w:p w:rsidR="002E300C" w:rsidRPr="006E6EDC" w:rsidRDefault="002E300C" w:rsidP="002E300C">
            <w:pPr>
              <w:tabs>
                <w:tab w:val="right" w:pos="9589"/>
              </w:tabs>
              <w:jc w:val="both"/>
              <w:rPr>
                <w:rFonts w:ascii="Arial" w:hAnsi="Arial" w:cs="Arial"/>
                <w:sz w:val="20"/>
                <w:szCs w:val="20"/>
              </w:rPr>
            </w:pPr>
          </w:p>
          <w:p w:rsidR="002E300C" w:rsidRPr="006E6EDC" w:rsidRDefault="002E300C" w:rsidP="0074319B">
            <w:pPr>
              <w:pStyle w:val="ListParagraph"/>
              <w:numPr>
                <w:ilvl w:val="0"/>
                <w:numId w:val="5"/>
              </w:numPr>
              <w:tabs>
                <w:tab w:val="right" w:pos="9589"/>
              </w:tabs>
              <w:ind w:left="376"/>
              <w:jc w:val="both"/>
              <w:rPr>
                <w:rFonts w:ascii="Arial" w:hAnsi="Arial" w:cs="Arial"/>
                <w:sz w:val="20"/>
                <w:szCs w:val="20"/>
              </w:rPr>
            </w:pPr>
            <w:r w:rsidRPr="006E6EDC">
              <w:rPr>
                <w:rFonts w:ascii="Arial" w:hAnsi="Arial" w:cs="Arial"/>
                <w:sz w:val="20"/>
                <w:szCs w:val="20"/>
              </w:rPr>
              <w:t>Consumer Protection reminds industry participants that the requirement to undertake Compulsory Professional Development (CPD) remains unchanged for 2012 and that agents and sales representatives are still required to obtain three mandatory and seven elective CPD points in this calendar year.</w:t>
            </w:r>
          </w:p>
          <w:p w:rsidR="002E300C" w:rsidRPr="006E6EDC" w:rsidRDefault="002E300C" w:rsidP="002E300C">
            <w:pPr>
              <w:tabs>
                <w:tab w:val="right" w:pos="9589"/>
              </w:tabs>
              <w:ind w:left="16"/>
              <w:jc w:val="both"/>
              <w:rPr>
                <w:rFonts w:ascii="Arial" w:hAnsi="Arial" w:cs="Arial"/>
                <w:sz w:val="20"/>
                <w:szCs w:val="20"/>
              </w:rPr>
            </w:pPr>
          </w:p>
          <w:p w:rsidR="002E300C" w:rsidRPr="006E6EDC" w:rsidRDefault="002E300C" w:rsidP="0074319B">
            <w:pPr>
              <w:pStyle w:val="ListParagraph"/>
              <w:numPr>
                <w:ilvl w:val="0"/>
                <w:numId w:val="5"/>
              </w:numPr>
              <w:tabs>
                <w:tab w:val="right" w:pos="9589"/>
              </w:tabs>
              <w:ind w:left="376"/>
              <w:jc w:val="both"/>
              <w:rPr>
                <w:rFonts w:ascii="Arial" w:hAnsi="Arial" w:cs="Arial"/>
                <w:i/>
                <w:iCs/>
                <w:sz w:val="20"/>
                <w:szCs w:val="20"/>
              </w:rPr>
            </w:pPr>
            <w:r w:rsidRPr="006E6EDC">
              <w:rPr>
                <w:rFonts w:ascii="Arial" w:hAnsi="Arial" w:cs="Arial"/>
                <w:sz w:val="20"/>
                <w:szCs w:val="20"/>
              </w:rPr>
              <w:t xml:space="preserve">When employing a new sales representative, agents should take several steps to ensure compliance with section 54 of the </w:t>
            </w:r>
            <w:r w:rsidRPr="006E6EDC">
              <w:rPr>
                <w:rFonts w:ascii="Arial" w:hAnsi="Arial" w:cs="Arial"/>
                <w:i/>
                <w:iCs/>
                <w:sz w:val="20"/>
                <w:szCs w:val="20"/>
              </w:rPr>
              <w:t>Real Estate and Business Agents Act 1978.</w:t>
            </w:r>
          </w:p>
          <w:p w:rsidR="002E300C" w:rsidRPr="006E6EDC" w:rsidRDefault="002E300C" w:rsidP="002E300C">
            <w:pPr>
              <w:tabs>
                <w:tab w:val="right" w:pos="9589"/>
              </w:tabs>
              <w:ind w:left="16"/>
              <w:jc w:val="both"/>
              <w:rPr>
                <w:rFonts w:ascii="Arial" w:hAnsi="Arial" w:cs="Arial"/>
                <w:i/>
                <w:iCs/>
                <w:sz w:val="20"/>
                <w:szCs w:val="20"/>
              </w:rPr>
            </w:pPr>
          </w:p>
          <w:p w:rsidR="002E300C" w:rsidRPr="006E6EDC" w:rsidRDefault="002E300C" w:rsidP="0074319B">
            <w:pPr>
              <w:pStyle w:val="ListParagraph"/>
              <w:numPr>
                <w:ilvl w:val="0"/>
                <w:numId w:val="5"/>
              </w:numPr>
              <w:tabs>
                <w:tab w:val="right" w:pos="9589"/>
              </w:tabs>
              <w:ind w:left="376"/>
              <w:jc w:val="both"/>
              <w:rPr>
                <w:rFonts w:ascii="Arial" w:hAnsi="Arial" w:cs="Arial"/>
                <w:sz w:val="20"/>
                <w:szCs w:val="20"/>
              </w:rPr>
            </w:pPr>
            <w:r w:rsidRPr="006E6EDC">
              <w:rPr>
                <w:rFonts w:ascii="Arial" w:hAnsi="Arial" w:cs="Arial"/>
                <w:sz w:val="20"/>
                <w:szCs w:val="20"/>
              </w:rPr>
              <w:t>In light of recent confusion, Consumer Protection would like to clarify the procedure for property managers who have completed the relevant training course and wish to modify their registration to allow sales transactions.</w:t>
            </w:r>
          </w:p>
          <w:p w:rsidR="002E300C" w:rsidRPr="006E6EDC" w:rsidRDefault="002E300C" w:rsidP="002E300C">
            <w:pPr>
              <w:tabs>
                <w:tab w:val="right" w:pos="9589"/>
              </w:tabs>
              <w:ind w:left="376"/>
              <w:jc w:val="both"/>
              <w:rPr>
                <w:rFonts w:ascii="Arial" w:hAnsi="Arial" w:cs="Arial"/>
                <w:sz w:val="20"/>
                <w:szCs w:val="20"/>
              </w:rPr>
            </w:pPr>
          </w:p>
          <w:p w:rsidR="002E300C" w:rsidRPr="006E6EDC" w:rsidRDefault="002E300C" w:rsidP="0074319B">
            <w:pPr>
              <w:pStyle w:val="ListParagraph"/>
              <w:numPr>
                <w:ilvl w:val="0"/>
                <w:numId w:val="5"/>
              </w:numPr>
              <w:tabs>
                <w:tab w:val="right" w:pos="9589"/>
              </w:tabs>
              <w:ind w:left="376"/>
              <w:jc w:val="both"/>
              <w:rPr>
                <w:rFonts w:ascii="Arial" w:hAnsi="Arial" w:cs="Arial"/>
                <w:sz w:val="20"/>
                <w:szCs w:val="20"/>
              </w:rPr>
            </w:pPr>
            <w:r w:rsidRPr="006E6EDC">
              <w:rPr>
                <w:rFonts w:ascii="Arial" w:hAnsi="Arial" w:cs="Arial"/>
                <w:sz w:val="20"/>
                <w:szCs w:val="20"/>
              </w:rPr>
              <w:t xml:space="preserve">Sales representatives are reminded that, under section 51 of the </w:t>
            </w:r>
            <w:r w:rsidRPr="006E6EDC">
              <w:rPr>
                <w:rFonts w:ascii="Arial" w:hAnsi="Arial" w:cs="Arial"/>
                <w:i/>
                <w:iCs/>
                <w:sz w:val="20"/>
                <w:szCs w:val="20"/>
              </w:rPr>
              <w:t xml:space="preserve">Real Estate and Business Agents Act 1978 </w:t>
            </w:r>
            <w:r w:rsidRPr="006E6EDC">
              <w:rPr>
                <w:rFonts w:ascii="Arial" w:hAnsi="Arial" w:cs="Arial"/>
                <w:sz w:val="20"/>
                <w:szCs w:val="20"/>
              </w:rPr>
              <w:t>(the Act), they must notify the Commissioner for Consumer Protection of any changes to their contact and/or employment details.</w:t>
            </w:r>
          </w:p>
          <w:p w:rsidR="002E300C" w:rsidRPr="006E6EDC" w:rsidRDefault="002E300C" w:rsidP="002E300C">
            <w:pPr>
              <w:tabs>
                <w:tab w:val="right" w:pos="9589"/>
              </w:tabs>
              <w:ind w:left="16"/>
              <w:jc w:val="both"/>
              <w:rPr>
                <w:rFonts w:ascii="Arial" w:hAnsi="Arial" w:cs="Arial"/>
                <w:sz w:val="20"/>
                <w:szCs w:val="20"/>
              </w:rPr>
            </w:pPr>
          </w:p>
          <w:p w:rsidR="001F0613" w:rsidRPr="006E6EDC" w:rsidRDefault="001F0613" w:rsidP="0074319B">
            <w:pPr>
              <w:pStyle w:val="ListParagraph"/>
              <w:numPr>
                <w:ilvl w:val="0"/>
                <w:numId w:val="5"/>
              </w:numPr>
              <w:tabs>
                <w:tab w:val="right" w:pos="9589"/>
              </w:tabs>
              <w:ind w:left="376"/>
              <w:jc w:val="both"/>
              <w:rPr>
                <w:rFonts w:ascii="Arial" w:hAnsi="Arial" w:cs="Arial"/>
                <w:sz w:val="20"/>
                <w:szCs w:val="20"/>
              </w:rPr>
            </w:pPr>
            <w:r w:rsidRPr="006E6EDC">
              <w:rPr>
                <w:rFonts w:ascii="Arial" w:hAnsi="Arial" w:cs="Arial"/>
                <w:sz w:val="20"/>
                <w:szCs w:val="20"/>
              </w:rPr>
              <w:t>Agents should make sure applications to renew relevant triennial certificates are lodged with Consumer Protection well before the expiry date to ensure their businesses are not at risk.</w:t>
            </w:r>
          </w:p>
          <w:p w:rsidR="001F0613" w:rsidRPr="006E6EDC" w:rsidRDefault="001F0613" w:rsidP="001F0613">
            <w:pPr>
              <w:pStyle w:val="ListParagraph"/>
              <w:rPr>
                <w:rFonts w:ascii="Arial" w:hAnsi="Arial" w:cs="Arial"/>
                <w:sz w:val="20"/>
                <w:szCs w:val="20"/>
              </w:rPr>
            </w:pPr>
          </w:p>
          <w:p w:rsidR="001F0613" w:rsidRPr="006E6EDC" w:rsidRDefault="001F0613" w:rsidP="0074319B">
            <w:pPr>
              <w:pStyle w:val="ListParagraph"/>
              <w:numPr>
                <w:ilvl w:val="0"/>
                <w:numId w:val="5"/>
              </w:numPr>
              <w:autoSpaceDE w:val="0"/>
              <w:autoSpaceDN w:val="0"/>
              <w:adjustRightInd w:val="0"/>
              <w:ind w:left="376"/>
              <w:jc w:val="both"/>
              <w:rPr>
                <w:rFonts w:ascii="Arial" w:hAnsi="Arial" w:cs="Arial"/>
                <w:sz w:val="20"/>
                <w:szCs w:val="20"/>
              </w:rPr>
            </w:pPr>
            <w:r w:rsidRPr="006E6EDC">
              <w:rPr>
                <w:rFonts w:ascii="Arial" w:hAnsi="Arial" w:cs="Arial"/>
                <w:sz w:val="20"/>
                <w:szCs w:val="20"/>
              </w:rPr>
              <w:t xml:space="preserve">The </w:t>
            </w:r>
            <w:r w:rsidRPr="006E6EDC">
              <w:rPr>
                <w:rFonts w:ascii="Arial" w:hAnsi="Arial" w:cs="Arial"/>
                <w:i/>
                <w:iCs/>
                <w:sz w:val="20"/>
                <w:szCs w:val="20"/>
              </w:rPr>
              <w:t xml:space="preserve">Residential Tenancies Amendment Act 2011 </w:t>
            </w:r>
            <w:r w:rsidRPr="006E6EDC">
              <w:rPr>
                <w:rFonts w:ascii="Arial" w:hAnsi="Arial" w:cs="Arial"/>
                <w:sz w:val="20"/>
                <w:szCs w:val="20"/>
              </w:rPr>
              <w:t>(RTA Amendment Act) will provide WA residential tenancy laws with greater clarity in residential tenancy transactions.  The RTA Amendment Act seeks to enhance the legislation’s effectiveness and provide greater balance between the rights and obligations of tenants and lessors.</w:t>
            </w:r>
          </w:p>
          <w:p w:rsidR="00977485" w:rsidRPr="006E6EDC" w:rsidRDefault="00977485" w:rsidP="00A74595">
            <w:pPr>
              <w:autoSpaceDE w:val="0"/>
              <w:autoSpaceDN w:val="0"/>
              <w:adjustRightInd w:val="0"/>
              <w:jc w:val="both"/>
              <w:rPr>
                <w:rFonts w:ascii="Arial" w:hAnsi="Arial" w:cs="Arial"/>
                <w:sz w:val="20"/>
                <w:szCs w:val="20"/>
              </w:rPr>
            </w:pPr>
          </w:p>
          <w:p w:rsidR="00977485" w:rsidRPr="006E6EDC" w:rsidRDefault="00977485" w:rsidP="00794498">
            <w:pPr>
              <w:autoSpaceDE w:val="0"/>
              <w:autoSpaceDN w:val="0"/>
              <w:adjustRightInd w:val="0"/>
              <w:jc w:val="both"/>
              <w:rPr>
                <w:rFonts w:ascii="Arial" w:hAnsi="Arial" w:cs="Arial"/>
                <w:sz w:val="20"/>
                <w:szCs w:val="20"/>
              </w:rPr>
            </w:pPr>
          </w:p>
          <w:p w:rsidR="00FF24C6" w:rsidRPr="006E6EDC" w:rsidRDefault="00FF24C6" w:rsidP="00977485">
            <w:pPr>
              <w:pStyle w:val="ListParagraph"/>
              <w:ind w:left="376"/>
              <w:rPr>
                <w:rFonts w:ascii="Arial" w:hAnsi="Arial" w:cs="Arial"/>
                <w:sz w:val="20"/>
                <w:szCs w:val="20"/>
              </w:rPr>
            </w:pPr>
          </w:p>
        </w:tc>
      </w:tr>
      <w:tr w:rsidR="006E6EDC" w:rsidRPr="006E6EDC" w:rsidTr="00B165DC">
        <w:tc>
          <w:tcPr>
            <w:tcW w:w="1361" w:type="dxa"/>
          </w:tcPr>
          <w:p w:rsidR="001F0613" w:rsidRPr="006E6EDC" w:rsidRDefault="001F0613" w:rsidP="00FF24C6">
            <w:pPr>
              <w:spacing w:before="120" w:after="120"/>
              <w:jc w:val="both"/>
              <w:rPr>
                <w:b/>
                <w:bCs/>
              </w:rPr>
            </w:pPr>
          </w:p>
        </w:tc>
        <w:tc>
          <w:tcPr>
            <w:tcW w:w="3792" w:type="dxa"/>
          </w:tcPr>
          <w:p w:rsidR="001F0613" w:rsidRPr="006E6EDC" w:rsidRDefault="001F0613" w:rsidP="00977485">
            <w:pPr>
              <w:tabs>
                <w:tab w:val="right" w:pos="2540"/>
              </w:tabs>
              <w:spacing w:before="120" w:after="120"/>
              <w:ind w:left="-20" w:right="-16"/>
              <w:jc w:val="both"/>
              <w:rPr>
                <w:rFonts w:cstheme="minorHAnsi"/>
                <w:b/>
              </w:rPr>
            </w:pPr>
          </w:p>
        </w:tc>
        <w:tc>
          <w:tcPr>
            <w:tcW w:w="9824" w:type="dxa"/>
          </w:tcPr>
          <w:p w:rsidR="00977485" w:rsidRPr="006E6EDC" w:rsidRDefault="00977485" w:rsidP="00977485">
            <w:pPr>
              <w:ind w:left="360"/>
              <w:rPr>
                <w:rFonts w:ascii="Arial" w:hAnsi="Arial" w:cs="Arial"/>
                <w:sz w:val="20"/>
                <w:szCs w:val="20"/>
              </w:rPr>
            </w:pPr>
          </w:p>
          <w:p w:rsidR="00977485" w:rsidRPr="006E6EDC" w:rsidRDefault="00977485" w:rsidP="0074319B">
            <w:pPr>
              <w:pStyle w:val="ListParagraph"/>
              <w:numPr>
                <w:ilvl w:val="0"/>
                <w:numId w:val="5"/>
              </w:numPr>
              <w:ind w:left="376"/>
            </w:pPr>
            <w:r w:rsidRPr="006E6EDC">
              <w:t>The Commercial Tenancy (Retail Shops) Agreements Amendment Act 2011 (CTA Amendment Act) amends the Commercial Tenancy (Retail Shops) Agreement Act 1985.  The amendments will introduce a number of changes to current retail shop tenancy laws and aims to improve the operating environment of small business in W</w:t>
            </w:r>
            <w:r w:rsidR="00A74595" w:rsidRPr="006E6EDC">
              <w:t>A.</w:t>
            </w:r>
          </w:p>
          <w:p w:rsidR="00A74595" w:rsidRPr="006E6EDC" w:rsidRDefault="00A74595" w:rsidP="00A74595">
            <w:pPr>
              <w:pStyle w:val="ListParagraph"/>
              <w:ind w:left="376"/>
            </w:pPr>
          </w:p>
          <w:p w:rsidR="00A74595" w:rsidRPr="006E6EDC" w:rsidRDefault="00A74595" w:rsidP="0074319B">
            <w:pPr>
              <w:pStyle w:val="ListParagraph"/>
              <w:numPr>
                <w:ilvl w:val="0"/>
                <w:numId w:val="5"/>
              </w:numPr>
              <w:ind w:left="376"/>
              <w:jc w:val="both"/>
            </w:pPr>
            <w:r w:rsidRPr="006E6EDC">
              <w:t>An option to complete Tenancy Bond Forms is now online.  After filling out the required fields and going through a one-click validation process, the form produces a completed PDF file which can then be printed and signed. This online process can be undertaken by anyone and the required form is located at www. commerce.wa.gov.au/bondforms.</w:t>
            </w:r>
          </w:p>
          <w:p w:rsidR="001F0613" w:rsidRPr="006E6EDC" w:rsidRDefault="001F0613" w:rsidP="00A74595">
            <w:pPr>
              <w:jc w:val="both"/>
              <w:rPr>
                <w:rFonts w:ascii="Arial" w:hAnsi="Arial" w:cs="Arial"/>
                <w:sz w:val="20"/>
                <w:szCs w:val="20"/>
              </w:rPr>
            </w:pPr>
          </w:p>
        </w:tc>
      </w:tr>
    </w:tbl>
    <w:p w:rsidR="00936D49" w:rsidRPr="006E6EDC" w:rsidRDefault="00936D49" w:rsidP="00936D49">
      <w:pPr>
        <w:spacing w:after="0"/>
      </w:pPr>
    </w:p>
    <w:p w:rsidR="00936D49" w:rsidRPr="006E6EDC" w:rsidRDefault="00936D49" w:rsidP="00610642">
      <w:r w:rsidRPr="006E6EDC">
        <w:br w:type="page"/>
      </w:r>
    </w:p>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6826EA">
        <w:tc>
          <w:tcPr>
            <w:tcW w:w="1361" w:type="dxa"/>
            <w:shd w:val="clear" w:color="auto" w:fill="D9D9D9" w:themeFill="background1" w:themeFillShade="D9"/>
          </w:tcPr>
          <w:p w:rsidR="00936D49" w:rsidRPr="006E6EDC" w:rsidRDefault="00936D49" w:rsidP="006826EA">
            <w:pPr>
              <w:spacing w:before="60" w:after="60"/>
              <w:rPr>
                <w:b/>
                <w:sz w:val="24"/>
                <w:szCs w:val="24"/>
              </w:rPr>
            </w:pPr>
            <w:r w:rsidRPr="006E6EDC">
              <w:rPr>
                <w:b/>
                <w:sz w:val="24"/>
                <w:szCs w:val="24"/>
              </w:rPr>
              <w:lastRenderedPageBreak/>
              <w:t>DATE / NO.</w:t>
            </w:r>
          </w:p>
        </w:tc>
        <w:tc>
          <w:tcPr>
            <w:tcW w:w="3792" w:type="dxa"/>
            <w:shd w:val="clear" w:color="auto" w:fill="D9D9D9" w:themeFill="background1" w:themeFillShade="D9"/>
          </w:tcPr>
          <w:p w:rsidR="00936D49" w:rsidRPr="006E6EDC" w:rsidRDefault="00936D49" w:rsidP="006826EA">
            <w:pPr>
              <w:spacing w:before="60" w:after="60"/>
              <w:rPr>
                <w:b/>
                <w:sz w:val="24"/>
                <w:szCs w:val="24"/>
              </w:rPr>
            </w:pPr>
            <w:r w:rsidRPr="006E6EDC">
              <w:rPr>
                <w:b/>
                <w:sz w:val="24"/>
                <w:szCs w:val="24"/>
              </w:rPr>
              <w:t xml:space="preserve">ISSUE / TITLE </w:t>
            </w:r>
          </w:p>
        </w:tc>
        <w:tc>
          <w:tcPr>
            <w:tcW w:w="9824" w:type="dxa"/>
            <w:shd w:val="clear" w:color="auto" w:fill="D9D9D9" w:themeFill="background1" w:themeFillShade="D9"/>
          </w:tcPr>
          <w:p w:rsidR="00936D49" w:rsidRPr="006E6EDC" w:rsidRDefault="00936D49" w:rsidP="006826EA">
            <w:pPr>
              <w:spacing w:before="60" w:after="60"/>
              <w:rPr>
                <w:b/>
                <w:sz w:val="24"/>
                <w:szCs w:val="24"/>
              </w:rPr>
            </w:pPr>
            <w:r w:rsidRPr="006E6EDC">
              <w:rPr>
                <w:b/>
                <w:sz w:val="24"/>
                <w:szCs w:val="24"/>
              </w:rPr>
              <w:t>CONTENT SUMMARY</w:t>
            </w:r>
          </w:p>
        </w:tc>
      </w:tr>
      <w:tr w:rsidR="006E6EDC" w:rsidRPr="006E6EDC" w:rsidTr="006826EA">
        <w:tc>
          <w:tcPr>
            <w:tcW w:w="1361" w:type="dxa"/>
          </w:tcPr>
          <w:p w:rsidR="00936D49" w:rsidRPr="006E6EDC" w:rsidRDefault="00936D49" w:rsidP="006826EA">
            <w:pPr>
              <w:spacing w:before="120" w:after="120"/>
              <w:jc w:val="both"/>
            </w:pPr>
            <w:r w:rsidRPr="006E6EDC">
              <w:rPr>
                <w:b/>
                <w:bCs/>
              </w:rPr>
              <w:t>S</w:t>
            </w:r>
            <w:r w:rsidR="00A4376C" w:rsidRPr="006E6EDC">
              <w:rPr>
                <w:b/>
                <w:bCs/>
              </w:rPr>
              <w:t>pring 2011</w:t>
            </w:r>
          </w:p>
          <w:p w:rsidR="00936D49" w:rsidRPr="006E6EDC" w:rsidRDefault="00936D49" w:rsidP="006826EA">
            <w:pPr>
              <w:spacing w:before="120" w:after="120"/>
              <w:jc w:val="both"/>
              <w:rPr>
                <w:b/>
                <w:bCs/>
              </w:rPr>
            </w:pPr>
            <w:r w:rsidRPr="006E6EDC">
              <w:rPr>
                <w:b/>
                <w:bCs/>
              </w:rPr>
              <w:t xml:space="preserve">No. </w:t>
            </w:r>
            <w:r w:rsidR="00A4376C" w:rsidRPr="006E6EDC">
              <w:rPr>
                <w:b/>
                <w:bCs/>
              </w:rPr>
              <w:t>1</w:t>
            </w:r>
          </w:p>
          <w:p w:rsidR="00936D49" w:rsidRPr="006E6EDC" w:rsidRDefault="00936D49" w:rsidP="006826EA">
            <w:pPr>
              <w:spacing w:before="120"/>
              <w:jc w:val="both"/>
            </w:pPr>
          </w:p>
        </w:tc>
        <w:tc>
          <w:tcPr>
            <w:tcW w:w="3792" w:type="dxa"/>
          </w:tcPr>
          <w:p w:rsidR="00936D49" w:rsidRPr="006E6EDC" w:rsidRDefault="00936D49" w:rsidP="0074319B">
            <w:pPr>
              <w:pStyle w:val="ListParagraph"/>
              <w:numPr>
                <w:ilvl w:val="0"/>
                <w:numId w:val="6"/>
              </w:numPr>
              <w:tabs>
                <w:tab w:val="right" w:pos="2540"/>
              </w:tabs>
              <w:spacing w:before="120" w:after="120"/>
              <w:ind w:left="340" w:right="-16"/>
              <w:rPr>
                <w:rFonts w:ascii="Arial" w:hAnsi="Arial" w:cs="Arial"/>
                <w:b/>
                <w:strike/>
                <w:sz w:val="20"/>
                <w:szCs w:val="20"/>
              </w:rPr>
            </w:pPr>
            <w:r w:rsidRPr="006E6EDC">
              <w:rPr>
                <w:rFonts w:ascii="Arial" w:hAnsi="Arial" w:cs="Arial"/>
                <w:b/>
                <w:strike/>
                <w:sz w:val="20"/>
                <w:szCs w:val="20"/>
              </w:rPr>
              <w:t xml:space="preserve">A </w:t>
            </w:r>
            <w:r w:rsidR="00A4376C" w:rsidRPr="006E6EDC">
              <w:rPr>
                <w:rFonts w:ascii="Arial" w:hAnsi="Arial" w:cs="Arial"/>
                <w:b/>
                <w:strike/>
                <w:sz w:val="20"/>
                <w:szCs w:val="20"/>
              </w:rPr>
              <w:t>Welcome from the Commissioner</w:t>
            </w:r>
          </w:p>
          <w:p w:rsidR="00A4376C" w:rsidRPr="006E6EDC" w:rsidRDefault="00A4376C" w:rsidP="00CF71A7">
            <w:pPr>
              <w:pStyle w:val="ListParagraph"/>
              <w:tabs>
                <w:tab w:val="right" w:pos="2540"/>
              </w:tabs>
              <w:ind w:left="340" w:right="-16" w:hanging="340"/>
              <w:rPr>
                <w:rFonts w:ascii="Arial" w:hAnsi="Arial" w:cs="Arial"/>
                <w:b/>
                <w:strike/>
                <w:sz w:val="16"/>
                <w:szCs w:val="16"/>
              </w:rPr>
            </w:pPr>
          </w:p>
          <w:p w:rsidR="00A4376C" w:rsidRPr="006E6EDC" w:rsidRDefault="00A4376C" w:rsidP="0074319B">
            <w:pPr>
              <w:pStyle w:val="ListParagraph"/>
              <w:numPr>
                <w:ilvl w:val="0"/>
                <w:numId w:val="6"/>
              </w:numPr>
              <w:autoSpaceDE w:val="0"/>
              <w:autoSpaceDN w:val="0"/>
              <w:adjustRightInd w:val="0"/>
              <w:ind w:left="340" w:hanging="340"/>
              <w:rPr>
                <w:rFonts w:ascii="Arial" w:hAnsi="Arial" w:cs="Arial"/>
                <w:b/>
                <w:sz w:val="20"/>
                <w:szCs w:val="20"/>
              </w:rPr>
            </w:pPr>
            <w:r w:rsidRPr="006E6EDC">
              <w:rPr>
                <w:rFonts w:ascii="Arial" w:hAnsi="Arial" w:cs="Arial"/>
                <w:b/>
                <w:sz w:val="20"/>
                <w:szCs w:val="20"/>
              </w:rPr>
              <w:t>New licensing fees</w:t>
            </w:r>
          </w:p>
          <w:p w:rsidR="00A4376C" w:rsidRPr="006E6EDC" w:rsidRDefault="00A4376C" w:rsidP="00CF71A7">
            <w:pPr>
              <w:pStyle w:val="ListParagraph"/>
              <w:autoSpaceDE w:val="0"/>
              <w:autoSpaceDN w:val="0"/>
              <w:adjustRightInd w:val="0"/>
              <w:ind w:left="340" w:hanging="340"/>
              <w:rPr>
                <w:rFonts w:ascii="Arial" w:hAnsi="Arial" w:cs="Arial"/>
                <w:b/>
                <w:sz w:val="16"/>
                <w:szCs w:val="16"/>
              </w:rPr>
            </w:pPr>
          </w:p>
          <w:p w:rsidR="00A4376C" w:rsidRPr="006E6EDC" w:rsidRDefault="00A4376C" w:rsidP="0074319B">
            <w:pPr>
              <w:pStyle w:val="ListParagraph"/>
              <w:numPr>
                <w:ilvl w:val="0"/>
                <w:numId w:val="6"/>
              </w:numPr>
              <w:autoSpaceDE w:val="0"/>
              <w:autoSpaceDN w:val="0"/>
              <w:adjustRightInd w:val="0"/>
              <w:ind w:left="340" w:hanging="340"/>
              <w:rPr>
                <w:rFonts w:ascii="Arial" w:hAnsi="Arial" w:cs="Arial"/>
                <w:b/>
                <w:sz w:val="20"/>
                <w:szCs w:val="20"/>
              </w:rPr>
            </w:pPr>
            <w:r w:rsidRPr="006E6EDC">
              <w:rPr>
                <w:rFonts w:ascii="Arial" w:hAnsi="Arial" w:cs="Arial"/>
                <w:b/>
                <w:sz w:val="20"/>
                <w:szCs w:val="20"/>
              </w:rPr>
              <w:t>Property Industry Advisory  Committee</w:t>
            </w:r>
          </w:p>
          <w:p w:rsidR="00A4376C" w:rsidRPr="006E6EDC" w:rsidRDefault="00A4376C" w:rsidP="00CF71A7">
            <w:pPr>
              <w:pStyle w:val="ListParagraph"/>
              <w:autoSpaceDE w:val="0"/>
              <w:autoSpaceDN w:val="0"/>
              <w:adjustRightInd w:val="0"/>
              <w:ind w:left="340" w:hanging="340"/>
              <w:rPr>
                <w:rFonts w:ascii="Arial" w:hAnsi="Arial" w:cs="Arial"/>
                <w:b/>
                <w:sz w:val="16"/>
                <w:szCs w:val="16"/>
              </w:rPr>
            </w:pPr>
          </w:p>
          <w:p w:rsidR="00A4376C" w:rsidRPr="006E6EDC" w:rsidRDefault="00A4376C" w:rsidP="0074319B">
            <w:pPr>
              <w:pStyle w:val="ListParagraph"/>
              <w:numPr>
                <w:ilvl w:val="0"/>
                <w:numId w:val="6"/>
              </w:numPr>
              <w:autoSpaceDE w:val="0"/>
              <w:autoSpaceDN w:val="0"/>
              <w:adjustRightInd w:val="0"/>
              <w:ind w:left="340" w:hanging="340"/>
              <w:rPr>
                <w:rFonts w:ascii="Arial" w:hAnsi="Arial" w:cs="Arial"/>
                <w:b/>
                <w:sz w:val="20"/>
                <w:szCs w:val="20"/>
              </w:rPr>
            </w:pPr>
            <w:r w:rsidRPr="006E6EDC">
              <w:rPr>
                <w:rFonts w:ascii="Arial" w:hAnsi="Arial" w:cs="Arial"/>
                <w:b/>
                <w:sz w:val="20"/>
                <w:szCs w:val="20"/>
              </w:rPr>
              <w:t xml:space="preserve">New contact details, eBulletins, Newsletters </w:t>
            </w:r>
          </w:p>
          <w:p w:rsidR="00A4376C" w:rsidRPr="006E6EDC" w:rsidRDefault="00A4376C" w:rsidP="00CF71A7">
            <w:pPr>
              <w:pStyle w:val="ListParagraph"/>
              <w:autoSpaceDE w:val="0"/>
              <w:autoSpaceDN w:val="0"/>
              <w:adjustRightInd w:val="0"/>
              <w:ind w:left="340" w:hanging="340"/>
              <w:rPr>
                <w:rFonts w:ascii="Arial" w:hAnsi="Arial" w:cs="Arial"/>
                <w:b/>
                <w:sz w:val="16"/>
                <w:szCs w:val="16"/>
              </w:rPr>
            </w:pPr>
          </w:p>
          <w:p w:rsidR="00A4376C" w:rsidRPr="006E6EDC" w:rsidRDefault="00A4376C" w:rsidP="0074319B">
            <w:pPr>
              <w:pStyle w:val="ListParagraph"/>
              <w:numPr>
                <w:ilvl w:val="0"/>
                <w:numId w:val="6"/>
              </w:numPr>
              <w:autoSpaceDE w:val="0"/>
              <w:autoSpaceDN w:val="0"/>
              <w:adjustRightInd w:val="0"/>
              <w:ind w:left="340" w:hanging="340"/>
              <w:rPr>
                <w:rFonts w:ascii="Arial" w:hAnsi="Arial" w:cs="Arial"/>
                <w:b/>
                <w:sz w:val="20"/>
                <w:szCs w:val="20"/>
              </w:rPr>
            </w:pPr>
            <w:r w:rsidRPr="006E6EDC">
              <w:rPr>
                <w:rFonts w:ascii="Arial" w:hAnsi="Arial" w:cs="Arial"/>
                <w:b/>
                <w:sz w:val="20"/>
                <w:szCs w:val="20"/>
              </w:rPr>
              <w:t>Residual Current Devices (RCDs) and smoke alarms—a timely safety reminder</w:t>
            </w:r>
          </w:p>
          <w:p w:rsidR="00E143F0" w:rsidRPr="006E6EDC" w:rsidRDefault="00E143F0" w:rsidP="00CF71A7">
            <w:pPr>
              <w:autoSpaceDE w:val="0"/>
              <w:autoSpaceDN w:val="0"/>
              <w:adjustRightInd w:val="0"/>
              <w:ind w:left="340" w:hanging="340"/>
              <w:rPr>
                <w:rFonts w:ascii="Arial" w:hAnsi="Arial" w:cs="Arial"/>
                <w:b/>
                <w:sz w:val="16"/>
                <w:szCs w:val="16"/>
              </w:rPr>
            </w:pPr>
          </w:p>
          <w:p w:rsidR="00E143F0" w:rsidRPr="006E6EDC" w:rsidRDefault="00E143F0" w:rsidP="0074319B">
            <w:pPr>
              <w:pStyle w:val="ListParagraph"/>
              <w:numPr>
                <w:ilvl w:val="0"/>
                <w:numId w:val="6"/>
              </w:numPr>
              <w:tabs>
                <w:tab w:val="right" w:pos="2540"/>
              </w:tabs>
              <w:ind w:left="340" w:right="-16" w:hanging="340"/>
              <w:rPr>
                <w:rFonts w:ascii="Arial" w:hAnsi="Arial" w:cs="Arial"/>
                <w:b/>
                <w:sz w:val="20"/>
                <w:szCs w:val="20"/>
              </w:rPr>
            </w:pPr>
            <w:r w:rsidRPr="006E6EDC">
              <w:rPr>
                <w:rFonts w:ascii="Arial" w:hAnsi="Arial" w:cs="Arial"/>
                <w:b/>
                <w:sz w:val="20"/>
                <w:szCs w:val="20"/>
              </w:rPr>
              <w:t>Important information about changes to laws about residential tenancy bonds</w:t>
            </w:r>
          </w:p>
          <w:p w:rsidR="00E143F0" w:rsidRPr="006E6EDC" w:rsidRDefault="00E143F0" w:rsidP="00CF71A7">
            <w:pPr>
              <w:tabs>
                <w:tab w:val="right" w:pos="2540"/>
              </w:tabs>
              <w:ind w:left="340" w:right="-16" w:hanging="340"/>
              <w:rPr>
                <w:rFonts w:ascii="Arial" w:hAnsi="Arial" w:cs="Arial"/>
                <w:b/>
                <w:sz w:val="16"/>
                <w:szCs w:val="16"/>
              </w:rPr>
            </w:pPr>
          </w:p>
          <w:p w:rsidR="00E143F0" w:rsidRPr="006E6EDC" w:rsidRDefault="00E143F0" w:rsidP="0074319B">
            <w:pPr>
              <w:pStyle w:val="ListParagraph"/>
              <w:numPr>
                <w:ilvl w:val="0"/>
                <w:numId w:val="6"/>
              </w:numPr>
              <w:tabs>
                <w:tab w:val="right" w:pos="2540"/>
              </w:tabs>
              <w:ind w:left="340" w:right="-16" w:hanging="340"/>
              <w:rPr>
                <w:rFonts w:ascii="Arial" w:hAnsi="Arial" w:cs="Arial"/>
                <w:b/>
                <w:sz w:val="20"/>
                <w:szCs w:val="20"/>
              </w:rPr>
            </w:pPr>
            <w:r w:rsidRPr="006E6EDC">
              <w:rPr>
                <w:rFonts w:ascii="Arial" w:hAnsi="Arial" w:cs="Arial"/>
                <w:b/>
                <w:sz w:val="20"/>
                <w:szCs w:val="20"/>
              </w:rPr>
              <w:t>Australian Consumer Law/ Advertising Guidelines</w:t>
            </w:r>
          </w:p>
          <w:p w:rsidR="00E143F0" w:rsidRPr="006E6EDC" w:rsidRDefault="00E143F0" w:rsidP="00CF71A7">
            <w:pPr>
              <w:tabs>
                <w:tab w:val="right" w:pos="2540"/>
              </w:tabs>
              <w:ind w:left="340" w:right="-16" w:hanging="340"/>
              <w:rPr>
                <w:rFonts w:ascii="Arial" w:hAnsi="Arial" w:cs="Arial"/>
                <w:b/>
                <w:sz w:val="16"/>
                <w:szCs w:val="16"/>
              </w:rPr>
            </w:pPr>
          </w:p>
          <w:p w:rsidR="00A4376C" w:rsidRPr="006E6EDC" w:rsidRDefault="00A4376C" w:rsidP="0074319B">
            <w:pPr>
              <w:pStyle w:val="ListParagraph"/>
              <w:numPr>
                <w:ilvl w:val="0"/>
                <w:numId w:val="6"/>
              </w:numPr>
              <w:autoSpaceDE w:val="0"/>
              <w:autoSpaceDN w:val="0"/>
              <w:adjustRightInd w:val="0"/>
              <w:ind w:left="340" w:hanging="340"/>
              <w:rPr>
                <w:rFonts w:ascii="Arial" w:hAnsi="Arial" w:cs="Arial"/>
                <w:b/>
                <w:sz w:val="20"/>
                <w:szCs w:val="20"/>
              </w:rPr>
            </w:pPr>
            <w:r w:rsidRPr="006E6EDC">
              <w:rPr>
                <w:rFonts w:ascii="Arial" w:hAnsi="Arial" w:cs="Arial"/>
                <w:b/>
                <w:sz w:val="20"/>
                <w:szCs w:val="20"/>
              </w:rPr>
              <w:t>National Occupational Licensing</w:t>
            </w:r>
          </w:p>
          <w:p w:rsidR="00A4376C" w:rsidRPr="006E6EDC" w:rsidRDefault="00A4376C" w:rsidP="00CF71A7">
            <w:pPr>
              <w:pStyle w:val="ListParagraph"/>
              <w:autoSpaceDE w:val="0"/>
              <w:autoSpaceDN w:val="0"/>
              <w:adjustRightInd w:val="0"/>
              <w:ind w:left="340" w:hanging="340"/>
              <w:rPr>
                <w:rFonts w:ascii="Arial" w:hAnsi="Arial" w:cs="Arial"/>
                <w:b/>
                <w:sz w:val="16"/>
                <w:szCs w:val="16"/>
              </w:rPr>
            </w:pPr>
          </w:p>
          <w:p w:rsidR="00E143F0" w:rsidRPr="006E6EDC" w:rsidRDefault="00E143F0" w:rsidP="0074319B">
            <w:pPr>
              <w:pStyle w:val="ListParagraph"/>
              <w:numPr>
                <w:ilvl w:val="0"/>
                <w:numId w:val="6"/>
              </w:numPr>
              <w:tabs>
                <w:tab w:val="right" w:pos="2540"/>
              </w:tabs>
              <w:ind w:left="340" w:right="-16" w:hanging="340"/>
              <w:rPr>
                <w:rFonts w:ascii="Arial" w:hAnsi="Arial" w:cs="Arial"/>
                <w:b/>
                <w:sz w:val="20"/>
                <w:szCs w:val="20"/>
              </w:rPr>
            </w:pPr>
            <w:r w:rsidRPr="006E6EDC">
              <w:rPr>
                <w:rFonts w:ascii="Arial" w:hAnsi="Arial" w:cs="Arial"/>
                <w:b/>
                <w:sz w:val="20"/>
                <w:szCs w:val="20"/>
              </w:rPr>
              <w:t>End of year bona fide control requirements</w:t>
            </w:r>
          </w:p>
          <w:p w:rsidR="00E143F0" w:rsidRPr="006E6EDC" w:rsidRDefault="00E143F0" w:rsidP="00CF71A7">
            <w:pPr>
              <w:tabs>
                <w:tab w:val="right" w:pos="2540"/>
              </w:tabs>
              <w:ind w:left="340" w:right="-16" w:hanging="340"/>
              <w:rPr>
                <w:rFonts w:ascii="Arial" w:hAnsi="Arial" w:cs="Arial"/>
                <w:b/>
                <w:sz w:val="16"/>
                <w:szCs w:val="16"/>
              </w:rPr>
            </w:pPr>
          </w:p>
          <w:p w:rsidR="00E143F0" w:rsidRPr="006E6EDC" w:rsidRDefault="00E143F0" w:rsidP="0074319B">
            <w:pPr>
              <w:pStyle w:val="ListParagraph"/>
              <w:numPr>
                <w:ilvl w:val="0"/>
                <w:numId w:val="6"/>
              </w:numPr>
              <w:tabs>
                <w:tab w:val="right" w:pos="2540"/>
              </w:tabs>
              <w:ind w:left="340" w:right="-16" w:hanging="340"/>
              <w:rPr>
                <w:rFonts w:ascii="Arial" w:hAnsi="Arial" w:cs="Arial"/>
                <w:b/>
                <w:sz w:val="20"/>
                <w:szCs w:val="20"/>
              </w:rPr>
            </w:pPr>
            <w:r w:rsidRPr="006E6EDC">
              <w:rPr>
                <w:rFonts w:ascii="Arial" w:hAnsi="Arial" w:cs="Arial"/>
                <w:b/>
                <w:sz w:val="20"/>
                <w:szCs w:val="20"/>
              </w:rPr>
              <w:t>CPD Reminder – Less than two months left</w:t>
            </w:r>
            <w:r w:rsidR="00CF71A7" w:rsidRPr="006E6EDC">
              <w:rPr>
                <w:rFonts w:ascii="Arial" w:hAnsi="Arial" w:cs="Arial"/>
                <w:b/>
                <w:sz w:val="20"/>
                <w:szCs w:val="20"/>
              </w:rPr>
              <w:t xml:space="preserve"> to obtain your required points</w:t>
            </w:r>
          </w:p>
          <w:p w:rsidR="00CF71A7" w:rsidRPr="006E6EDC" w:rsidRDefault="00CF71A7" w:rsidP="00CF71A7">
            <w:pPr>
              <w:pStyle w:val="ListParagraph"/>
              <w:rPr>
                <w:rFonts w:ascii="Arial" w:hAnsi="Arial" w:cs="Arial"/>
                <w:b/>
                <w:sz w:val="16"/>
                <w:szCs w:val="16"/>
              </w:rPr>
            </w:pPr>
          </w:p>
          <w:p w:rsidR="00CF71A7" w:rsidRPr="006E6EDC" w:rsidRDefault="00CF71A7" w:rsidP="0074319B">
            <w:pPr>
              <w:pStyle w:val="ListParagraph"/>
              <w:numPr>
                <w:ilvl w:val="0"/>
                <w:numId w:val="6"/>
              </w:numPr>
              <w:tabs>
                <w:tab w:val="right" w:pos="2540"/>
              </w:tabs>
              <w:ind w:left="340" w:right="-16" w:hanging="340"/>
              <w:rPr>
                <w:rFonts w:ascii="Arial" w:hAnsi="Arial" w:cs="Arial"/>
                <w:b/>
                <w:sz w:val="20"/>
                <w:szCs w:val="20"/>
              </w:rPr>
            </w:pPr>
            <w:r w:rsidRPr="006E6EDC">
              <w:rPr>
                <w:rFonts w:ascii="Arial" w:hAnsi="Arial" w:cs="Arial"/>
                <w:b/>
                <w:sz w:val="20"/>
                <w:szCs w:val="20"/>
              </w:rPr>
              <w:t>Real estate scam and property fraud prevention</w:t>
            </w:r>
          </w:p>
          <w:p w:rsidR="00CF71A7" w:rsidRPr="006E6EDC" w:rsidRDefault="00CF71A7" w:rsidP="00CF71A7">
            <w:pPr>
              <w:pStyle w:val="ListParagraph"/>
              <w:rPr>
                <w:rFonts w:ascii="Arial" w:hAnsi="Arial" w:cs="Arial"/>
                <w:b/>
                <w:sz w:val="16"/>
                <w:szCs w:val="16"/>
              </w:rPr>
            </w:pPr>
          </w:p>
          <w:p w:rsidR="00936D49" w:rsidRPr="006E6EDC" w:rsidRDefault="00CF71A7" w:rsidP="0074319B">
            <w:pPr>
              <w:pStyle w:val="ListParagraph"/>
              <w:numPr>
                <w:ilvl w:val="0"/>
                <w:numId w:val="6"/>
              </w:numPr>
              <w:tabs>
                <w:tab w:val="right" w:pos="2540"/>
              </w:tabs>
              <w:ind w:left="340" w:right="-16" w:hanging="340"/>
              <w:rPr>
                <w:rFonts w:ascii="Arial" w:hAnsi="Arial" w:cs="Arial"/>
                <w:b/>
                <w:strike/>
                <w:sz w:val="20"/>
                <w:szCs w:val="20"/>
              </w:rPr>
            </w:pPr>
            <w:r w:rsidRPr="006E6EDC">
              <w:rPr>
                <w:rFonts w:ascii="Arial" w:hAnsi="Arial" w:cs="Arial"/>
                <w:b/>
                <w:strike/>
                <w:sz w:val="20"/>
                <w:szCs w:val="20"/>
              </w:rPr>
              <w:t>Mandatory CPD dates – November and December 2011</w:t>
            </w:r>
          </w:p>
        </w:tc>
        <w:tc>
          <w:tcPr>
            <w:tcW w:w="9824" w:type="dxa"/>
          </w:tcPr>
          <w:p w:rsidR="00ED1D95" w:rsidRPr="006E6EDC" w:rsidRDefault="00ED1D95" w:rsidP="00ED1D95">
            <w:pPr>
              <w:autoSpaceDE w:val="0"/>
              <w:autoSpaceDN w:val="0"/>
              <w:adjustRightInd w:val="0"/>
              <w:jc w:val="both"/>
              <w:rPr>
                <w:rFonts w:ascii="Arial" w:hAnsi="Arial" w:cs="Arial"/>
                <w:vanish/>
                <w:sz w:val="20"/>
                <w:szCs w:val="20"/>
              </w:rPr>
            </w:pPr>
          </w:p>
          <w:p w:rsidR="00CF71A7" w:rsidRPr="006E6EDC" w:rsidRDefault="00CF71A7" w:rsidP="0074319B">
            <w:pPr>
              <w:pStyle w:val="ListParagraph"/>
              <w:numPr>
                <w:ilvl w:val="0"/>
                <w:numId w:val="16"/>
              </w:numPr>
              <w:tabs>
                <w:tab w:val="right" w:pos="9589"/>
              </w:tabs>
              <w:spacing w:before="120"/>
              <w:ind w:left="376"/>
              <w:jc w:val="both"/>
              <w:rPr>
                <w:rFonts w:ascii="Arial" w:hAnsi="Arial" w:cs="Arial"/>
                <w:sz w:val="20"/>
                <w:szCs w:val="20"/>
              </w:rPr>
            </w:pPr>
            <w:r w:rsidRPr="006E6EDC">
              <w:rPr>
                <w:rFonts w:ascii="Arial" w:hAnsi="Arial" w:cs="Arial"/>
                <w:sz w:val="20"/>
                <w:szCs w:val="20"/>
              </w:rPr>
              <w:t>As at 1 July 2011, fees related to new licence and registration applications and triennial certificate renewals were increased slightly to keep pace with the annual increase in the CPI.</w:t>
            </w:r>
          </w:p>
          <w:p w:rsidR="00ED1D95" w:rsidRPr="006E6EDC" w:rsidRDefault="00ED1D95" w:rsidP="00ED1D95">
            <w:pPr>
              <w:autoSpaceDE w:val="0"/>
              <w:autoSpaceDN w:val="0"/>
              <w:adjustRightInd w:val="0"/>
              <w:ind w:left="16"/>
              <w:jc w:val="both"/>
              <w:rPr>
                <w:rFonts w:ascii="Arial" w:hAnsi="Arial" w:cs="Arial"/>
                <w:sz w:val="20"/>
                <w:szCs w:val="20"/>
              </w:rPr>
            </w:pPr>
          </w:p>
          <w:p w:rsidR="00500161" w:rsidRPr="006E6EDC" w:rsidRDefault="00500161" w:rsidP="0074319B">
            <w:pPr>
              <w:pStyle w:val="ListParagraph"/>
              <w:numPr>
                <w:ilvl w:val="0"/>
                <w:numId w:val="16"/>
              </w:numPr>
              <w:tabs>
                <w:tab w:val="right" w:pos="9589"/>
              </w:tabs>
              <w:ind w:left="376"/>
              <w:jc w:val="both"/>
              <w:rPr>
                <w:rFonts w:ascii="Arial" w:hAnsi="Arial" w:cs="Arial"/>
                <w:sz w:val="20"/>
                <w:szCs w:val="20"/>
              </w:rPr>
            </w:pPr>
            <w:r w:rsidRPr="006E6EDC">
              <w:rPr>
                <w:rFonts w:ascii="Arial" w:hAnsi="Arial" w:cs="Arial"/>
                <w:sz w:val="20"/>
                <w:szCs w:val="20"/>
              </w:rPr>
              <w:t>As part of its reforms to the administration of licensing in the real estate and settlement industries, the Government decided to establish a statutory Property Industry Advisory Committee (PIAC).</w:t>
            </w:r>
          </w:p>
          <w:p w:rsidR="00CF71A7" w:rsidRPr="006E6EDC" w:rsidRDefault="00CF71A7" w:rsidP="00CF71A7">
            <w:pPr>
              <w:pStyle w:val="ListParagraph"/>
              <w:tabs>
                <w:tab w:val="right" w:pos="9589"/>
              </w:tabs>
              <w:spacing w:before="120"/>
              <w:ind w:left="376"/>
              <w:jc w:val="both"/>
              <w:rPr>
                <w:rFonts w:ascii="Arial" w:hAnsi="Arial" w:cs="Arial"/>
                <w:sz w:val="20"/>
                <w:szCs w:val="20"/>
              </w:rPr>
            </w:pPr>
          </w:p>
          <w:p w:rsidR="0079126B" w:rsidRPr="006E6EDC" w:rsidRDefault="0079126B" w:rsidP="0074319B">
            <w:pPr>
              <w:pStyle w:val="ListParagraph"/>
              <w:numPr>
                <w:ilvl w:val="0"/>
                <w:numId w:val="16"/>
              </w:numPr>
              <w:tabs>
                <w:tab w:val="right" w:pos="9589"/>
              </w:tabs>
              <w:spacing w:before="120"/>
              <w:ind w:left="376"/>
              <w:jc w:val="both"/>
              <w:rPr>
                <w:rFonts w:ascii="Arial" w:hAnsi="Arial" w:cs="Arial"/>
                <w:sz w:val="20"/>
                <w:szCs w:val="20"/>
              </w:rPr>
            </w:pPr>
            <w:r w:rsidRPr="006E6EDC">
              <w:rPr>
                <w:rFonts w:ascii="Arial" w:hAnsi="Arial" w:cs="Arial"/>
                <w:sz w:val="20"/>
                <w:szCs w:val="20"/>
              </w:rPr>
              <w:t xml:space="preserve">With the transfer of the regulatory functions to Consumer Protection it is a good time to ensure that you have all the correct and current contact details should you need to make any enquiries to the Department.  </w:t>
            </w:r>
          </w:p>
          <w:p w:rsidR="0079126B" w:rsidRPr="006E6EDC" w:rsidRDefault="0079126B" w:rsidP="00CF71A7">
            <w:pPr>
              <w:pStyle w:val="ListParagraph"/>
              <w:rPr>
                <w:rFonts w:ascii="Arial" w:hAnsi="Arial" w:cs="Arial"/>
                <w:sz w:val="20"/>
                <w:szCs w:val="20"/>
              </w:rPr>
            </w:pPr>
          </w:p>
          <w:p w:rsidR="0079126B" w:rsidRPr="006E6EDC" w:rsidRDefault="00500161" w:rsidP="0074319B">
            <w:pPr>
              <w:pStyle w:val="ListParagraph"/>
              <w:numPr>
                <w:ilvl w:val="0"/>
                <w:numId w:val="16"/>
              </w:numPr>
              <w:autoSpaceDE w:val="0"/>
              <w:autoSpaceDN w:val="0"/>
              <w:adjustRightInd w:val="0"/>
              <w:ind w:left="376"/>
              <w:jc w:val="both"/>
              <w:rPr>
                <w:rFonts w:ascii="Arial" w:hAnsi="Arial" w:cs="Arial"/>
                <w:sz w:val="20"/>
                <w:szCs w:val="20"/>
              </w:rPr>
            </w:pPr>
            <w:r w:rsidRPr="006E6EDC">
              <w:rPr>
                <w:rFonts w:ascii="Arial" w:hAnsi="Arial" w:cs="Arial"/>
                <w:sz w:val="20"/>
                <w:szCs w:val="20"/>
              </w:rPr>
              <w:t>According to EnergySafety, 23 of the 29 people who have died in WA as a result of electrocution in the past 17 years may have been saved if Residual Current Devices (RCDs) had been fitted to power and lighting circuits. Additionally, each year in Western Australia, structural fires result in injury and death as well as significant property damage.</w:t>
            </w:r>
          </w:p>
          <w:p w:rsidR="00500161" w:rsidRPr="006E6EDC" w:rsidRDefault="00500161" w:rsidP="00CF71A7">
            <w:pPr>
              <w:pStyle w:val="ListParagraph"/>
              <w:ind w:left="376"/>
              <w:rPr>
                <w:rFonts w:ascii="Arial" w:hAnsi="Arial" w:cs="Arial"/>
                <w:sz w:val="20"/>
                <w:szCs w:val="20"/>
              </w:rPr>
            </w:pPr>
          </w:p>
          <w:p w:rsidR="00500161" w:rsidRPr="006E6EDC" w:rsidRDefault="00500161" w:rsidP="0074319B">
            <w:pPr>
              <w:pStyle w:val="ListParagraph"/>
              <w:numPr>
                <w:ilvl w:val="0"/>
                <w:numId w:val="16"/>
              </w:numPr>
              <w:autoSpaceDE w:val="0"/>
              <w:autoSpaceDN w:val="0"/>
              <w:adjustRightInd w:val="0"/>
              <w:ind w:left="376"/>
              <w:jc w:val="both"/>
              <w:rPr>
                <w:rFonts w:ascii="Arial" w:hAnsi="Arial" w:cs="Arial"/>
                <w:sz w:val="20"/>
                <w:szCs w:val="20"/>
              </w:rPr>
            </w:pPr>
            <w:r w:rsidRPr="006E6EDC">
              <w:rPr>
                <w:rFonts w:ascii="Arial" w:hAnsi="Arial" w:cs="Arial"/>
                <w:sz w:val="20"/>
                <w:szCs w:val="20"/>
              </w:rPr>
              <w:t>Two important changes to W</w:t>
            </w:r>
            <w:r w:rsidR="005D2156">
              <w:rPr>
                <w:rFonts w:ascii="Arial" w:hAnsi="Arial" w:cs="Arial"/>
                <w:sz w:val="20"/>
                <w:szCs w:val="20"/>
              </w:rPr>
              <w:t>A</w:t>
            </w:r>
            <w:r w:rsidRPr="006E6EDC">
              <w:rPr>
                <w:rFonts w:ascii="Arial" w:hAnsi="Arial" w:cs="Arial"/>
                <w:sz w:val="20"/>
                <w:szCs w:val="20"/>
              </w:rPr>
              <w:t xml:space="preserve"> tenancy legislation occurred on 1 June 2011 which affects the amount of bond money landlords can collect from residential property tenants.</w:t>
            </w:r>
          </w:p>
          <w:p w:rsidR="00500161" w:rsidRPr="006E6EDC" w:rsidRDefault="00500161" w:rsidP="00CF71A7">
            <w:pPr>
              <w:pStyle w:val="ListParagraph"/>
              <w:ind w:left="376"/>
              <w:rPr>
                <w:rFonts w:ascii="Arial" w:hAnsi="Arial" w:cs="Arial"/>
                <w:sz w:val="20"/>
                <w:szCs w:val="20"/>
              </w:rPr>
            </w:pPr>
          </w:p>
          <w:p w:rsidR="00500161" w:rsidRPr="006E6EDC" w:rsidRDefault="00ED1D95" w:rsidP="0074319B">
            <w:pPr>
              <w:pStyle w:val="ListParagraph"/>
              <w:numPr>
                <w:ilvl w:val="0"/>
                <w:numId w:val="16"/>
              </w:numPr>
              <w:autoSpaceDE w:val="0"/>
              <w:autoSpaceDN w:val="0"/>
              <w:adjustRightInd w:val="0"/>
              <w:ind w:left="376"/>
              <w:jc w:val="both"/>
              <w:rPr>
                <w:rFonts w:ascii="Arial" w:hAnsi="Arial" w:cs="Arial"/>
                <w:sz w:val="20"/>
                <w:szCs w:val="20"/>
              </w:rPr>
            </w:pPr>
            <w:r w:rsidRPr="006E6EDC">
              <w:rPr>
                <w:rFonts w:ascii="Arial" w:hAnsi="Arial" w:cs="Arial"/>
                <w:sz w:val="20"/>
                <w:szCs w:val="20"/>
              </w:rPr>
              <w:t xml:space="preserve">The </w:t>
            </w:r>
            <w:r w:rsidRPr="006E6EDC">
              <w:rPr>
                <w:rFonts w:ascii="Arial" w:hAnsi="Arial" w:cs="Arial"/>
                <w:i/>
                <w:iCs/>
                <w:sz w:val="20"/>
                <w:szCs w:val="20"/>
              </w:rPr>
              <w:t xml:space="preserve">Competition and Consumer Act 2010 </w:t>
            </w:r>
            <w:r w:rsidRPr="006E6EDC">
              <w:rPr>
                <w:rFonts w:ascii="Arial" w:hAnsi="Arial" w:cs="Arial"/>
                <w:sz w:val="20"/>
                <w:szCs w:val="20"/>
              </w:rPr>
              <w:t xml:space="preserve">(the Act) is the piece of legislation that dictates how businesses must undertake dealings both between themselves, and also with consumers.  The Australian Consumer Law (ACL) is a schedule to the Act and creates a single, national consumer law that applies nationally. The </w:t>
            </w:r>
            <w:r w:rsidRPr="006E6EDC">
              <w:rPr>
                <w:rFonts w:ascii="Arial" w:hAnsi="Arial" w:cs="Arial"/>
                <w:i/>
                <w:iCs/>
                <w:sz w:val="20"/>
                <w:szCs w:val="20"/>
              </w:rPr>
              <w:t xml:space="preserve">Fair Trading Act 2010 </w:t>
            </w:r>
            <w:r w:rsidRPr="006E6EDC">
              <w:rPr>
                <w:rFonts w:ascii="Arial" w:hAnsi="Arial" w:cs="Arial"/>
                <w:sz w:val="20"/>
                <w:szCs w:val="20"/>
              </w:rPr>
              <w:t>also references and applies the ACL as WA law.</w:t>
            </w:r>
          </w:p>
          <w:p w:rsidR="00500161" w:rsidRPr="006E6EDC" w:rsidRDefault="00500161" w:rsidP="00CF71A7">
            <w:pPr>
              <w:pStyle w:val="ListParagraph"/>
              <w:ind w:left="376"/>
              <w:rPr>
                <w:rFonts w:ascii="Arial" w:hAnsi="Arial" w:cs="Arial"/>
                <w:sz w:val="20"/>
                <w:szCs w:val="20"/>
              </w:rPr>
            </w:pPr>
          </w:p>
          <w:p w:rsidR="00500161" w:rsidRPr="006E6EDC" w:rsidRDefault="00ED1D95" w:rsidP="0074319B">
            <w:pPr>
              <w:pStyle w:val="ListParagraph"/>
              <w:numPr>
                <w:ilvl w:val="0"/>
                <w:numId w:val="16"/>
              </w:numPr>
              <w:autoSpaceDE w:val="0"/>
              <w:autoSpaceDN w:val="0"/>
              <w:adjustRightInd w:val="0"/>
              <w:ind w:left="376"/>
              <w:jc w:val="both"/>
              <w:rPr>
                <w:rFonts w:ascii="Arial" w:hAnsi="Arial" w:cs="Arial"/>
                <w:sz w:val="20"/>
                <w:szCs w:val="20"/>
              </w:rPr>
            </w:pPr>
            <w:r w:rsidRPr="006E6EDC">
              <w:rPr>
                <w:rFonts w:ascii="Arial" w:hAnsi="Arial" w:cs="Arial"/>
                <w:sz w:val="20"/>
                <w:szCs w:val="20"/>
              </w:rPr>
              <w:t>In April 2009</w:t>
            </w:r>
            <w:r w:rsidR="005D2156">
              <w:rPr>
                <w:rFonts w:ascii="Arial" w:hAnsi="Arial" w:cs="Arial"/>
                <w:sz w:val="20"/>
                <w:szCs w:val="20"/>
              </w:rPr>
              <w:t>,</w:t>
            </w:r>
            <w:r w:rsidRPr="006E6EDC">
              <w:rPr>
                <w:rFonts w:ascii="Arial" w:hAnsi="Arial" w:cs="Arial"/>
                <w:sz w:val="20"/>
                <w:szCs w:val="20"/>
              </w:rPr>
              <w:t xml:space="preserve"> the Council of Australian Governments agreed to establish a national occupational licensing system for specified occupations, including the property industry, in order to streamline regulation across states. The proposed system is intended to result in a number of benefits, including improved business efficiency, productivity, and consumer confidence, while also improving labour mobility.</w:t>
            </w:r>
          </w:p>
          <w:p w:rsidR="00ED1D95" w:rsidRPr="006E6EDC" w:rsidRDefault="00ED1D95" w:rsidP="00CF71A7">
            <w:pPr>
              <w:pStyle w:val="ListParagraph"/>
              <w:rPr>
                <w:rFonts w:ascii="Arial" w:hAnsi="Arial" w:cs="Arial"/>
                <w:sz w:val="20"/>
                <w:szCs w:val="20"/>
              </w:rPr>
            </w:pPr>
          </w:p>
          <w:p w:rsidR="00ED1D95" w:rsidRPr="006E6EDC" w:rsidRDefault="00ED1D95" w:rsidP="0074319B">
            <w:pPr>
              <w:pStyle w:val="ListParagraph"/>
              <w:numPr>
                <w:ilvl w:val="0"/>
                <w:numId w:val="16"/>
              </w:numPr>
              <w:autoSpaceDE w:val="0"/>
              <w:autoSpaceDN w:val="0"/>
              <w:adjustRightInd w:val="0"/>
              <w:ind w:left="376"/>
              <w:jc w:val="both"/>
              <w:rPr>
                <w:rFonts w:ascii="Arial" w:hAnsi="Arial" w:cs="Arial"/>
                <w:sz w:val="20"/>
                <w:szCs w:val="20"/>
              </w:rPr>
            </w:pPr>
            <w:r w:rsidRPr="006E6EDC">
              <w:rPr>
                <w:rFonts w:ascii="Arial" w:hAnsi="Arial" w:cs="Arial"/>
                <w:sz w:val="20"/>
                <w:szCs w:val="20"/>
              </w:rPr>
              <w:t>Those licensees who have a triennial certificate subject to the RA6 condition, and who have not already done so, are reminded of the requirement to provide Consumer Protection with proof that they have paid their agency’s person in bona fide control at least $50,000 in the preceding financial year. The condition is one of several policies introduced by REBA that Consumer Protection has adopted since 1 July 2011.</w:t>
            </w:r>
          </w:p>
          <w:p w:rsidR="00E830B2" w:rsidRPr="006E6EDC" w:rsidRDefault="00E830B2" w:rsidP="00136217">
            <w:pPr>
              <w:jc w:val="both"/>
              <w:rPr>
                <w:rFonts w:ascii="Arial" w:hAnsi="Arial" w:cs="Arial"/>
                <w:sz w:val="20"/>
                <w:szCs w:val="20"/>
              </w:rPr>
            </w:pPr>
          </w:p>
          <w:p w:rsidR="00936D49" w:rsidRPr="006E6EDC" w:rsidRDefault="00936D49" w:rsidP="00CF71A7">
            <w:pPr>
              <w:pStyle w:val="ListParagraph"/>
              <w:autoSpaceDE w:val="0"/>
              <w:autoSpaceDN w:val="0"/>
              <w:adjustRightInd w:val="0"/>
              <w:ind w:left="376"/>
              <w:jc w:val="both"/>
              <w:rPr>
                <w:rFonts w:ascii="Arial" w:hAnsi="Arial" w:cs="Arial"/>
                <w:sz w:val="20"/>
                <w:szCs w:val="20"/>
              </w:rPr>
            </w:pPr>
          </w:p>
        </w:tc>
      </w:tr>
    </w:tbl>
    <w:p w:rsidR="00CF71A7" w:rsidRPr="006E6EDC" w:rsidRDefault="00CF71A7"/>
    <w:tbl>
      <w:tblPr>
        <w:tblStyle w:val="TableGrid"/>
        <w:tblpPr w:leftFromText="181" w:rightFromText="181" w:vertAnchor="text" w:tblpX="-318" w:tblpY="1"/>
        <w:tblOverlap w:val="never"/>
        <w:tblW w:w="14977" w:type="dxa"/>
        <w:tblLayout w:type="fixed"/>
        <w:tblLook w:val="04A0" w:firstRow="1" w:lastRow="0" w:firstColumn="1" w:lastColumn="0" w:noHBand="0" w:noVBand="1"/>
      </w:tblPr>
      <w:tblGrid>
        <w:gridCol w:w="1361"/>
        <w:gridCol w:w="3792"/>
        <w:gridCol w:w="9824"/>
      </w:tblGrid>
      <w:tr w:rsidR="006E6EDC" w:rsidRPr="006E6EDC" w:rsidTr="006826EA">
        <w:tc>
          <w:tcPr>
            <w:tcW w:w="1361" w:type="dxa"/>
          </w:tcPr>
          <w:p w:rsidR="00ED1D95" w:rsidRPr="005D2156" w:rsidRDefault="00ED1D95" w:rsidP="006826EA">
            <w:pPr>
              <w:spacing w:before="120" w:after="120"/>
              <w:jc w:val="both"/>
              <w:rPr>
                <w:rFonts w:ascii="Arial" w:hAnsi="Arial" w:cs="Arial"/>
                <w:b/>
                <w:bCs/>
                <w:sz w:val="20"/>
                <w:szCs w:val="20"/>
              </w:rPr>
            </w:pPr>
          </w:p>
        </w:tc>
        <w:tc>
          <w:tcPr>
            <w:tcW w:w="3792" w:type="dxa"/>
          </w:tcPr>
          <w:p w:rsidR="00ED1D95" w:rsidRPr="005D2156" w:rsidRDefault="00ED1D95" w:rsidP="00CF71A7">
            <w:pPr>
              <w:tabs>
                <w:tab w:val="right" w:pos="2540"/>
              </w:tabs>
              <w:spacing w:before="120" w:after="120"/>
              <w:ind w:right="-16"/>
              <w:rPr>
                <w:rFonts w:ascii="Arial" w:hAnsi="Arial" w:cs="Arial"/>
                <w:b/>
                <w:sz w:val="20"/>
                <w:szCs w:val="20"/>
              </w:rPr>
            </w:pPr>
          </w:p>
        </w:tc>
        <w:tc>
          <w:tcPr>
            <w:tcW w:w="9824" w:type="dxa"/>
          </w:tcPr>
          <w:p w:rsidR="00CF71A7" w:rsidRPr="005D2156" w:rsidRDefault="00CF71A7" w:rsidP="00CF71A7">
            <w:pPr>
              <w:pStyle w:val="ListParagraph"/>
              <w:autoSpaceDE w:val="0"/>
              <w:autoSpaceDN w:val="0"/>
              <w:adjustRightInd w:val="0"/>
              <w:jc w:val="both"/>
              <w:rPr>
                <w:rFonts w:ascii="Arial" w:hAnsi="Arial" w:cs="Arial"/>
                <w:sz w:val="20"/>
                <w:szCs w:val="20"/>
              </w:rPr>
            </w:pPr>
          </w:p>
          <w:p w:rsidR="00136217" w:rsidRPr="005D2156" w:rsidRDefault="00136217" w:rsidP="0074319B">
            <w:pPr>
              <w:pStyle w:val="ListParagraph"/>
              <w:numPr>
                <w:ilvl w:val="0"/>
                <w:numId w:val="16"/>
              </w:numPr>
              <w:autoSpaceDE w:val="0"/>
              <w:autoSpaceDN w:val="0"/>
              <w:adjustRightInd w:val="0"/>
              <w:ind w:left="376"/>
              <w:jc w:val="both"/>
              <w:rPr>
                <w:rFonts w:ascii="Arial" w:hAnsi="Arial" w:cs="Arial"/>
                <w:sz w:val="20"/>
                <w:szCs w:val="20"/>
              </w:rPr>
            </w:pPr>
            <w:r w:rsidRPr="005D2156">
              <w:rPr>
                <w:rFonts w:ascii="Arial" w:hAnsi="Arial" w:cs="Arial"/>
                <w:sz w:val="20"/>
                <w:szCs w:val="20"/>
              </w:rPr>
              <w:t>Compulsory Professional Development (CPD) is part of the licensing framework for licensed real estate agents and business brokers, and for registered sales representatives and property managers. The CPD program is prescribed by law. As such, all licensees with current triennial certificates, and all sales representatives and property managers with a current registration, are required to complete CPD activities.</w:t>
            </w:r>
          </w:p>
          <w:p w:rsidR="00136217" w:rsidRPr="005D2156" w:rsidRDefault="00136217" w:rsidP="00136217">
            <w:pPr>
              <w:pStyle w:val="ListParagraph"/>
              <w:autoSpaceDE w:val="0"/>
              <w:autoSpaceDN w:val="0"/>
              <w:adjustRightInd w:val="0"/>
              <w:ind w:left="376"/>
              <w:jc w:val="both"/>
              <w:rPr>
                <w:rFonts w:ascii="Arial" w:hAnsi="Arial" w:cs="Arial"/>
                <w:sz w:val="20"/>
                <w:szCs w:val="20"/>
              </w:rPr>
            </w:pPr>
          </w:p>
          <w:p w:rsidR="00136217" w:rsidRPr="005D2156" w:rsidRDefault="00136217" w:rsidP="0074319B">
            <w:pPr>
              <w:pStyle w:val="ListParagraph"/>
              <w:numPr>
                <w:ilvl w:val="0"/>
                <w:numId w:val="16"/>
              </w:numPr>
              <w:autoSpaceDE w:val="0"/>
              <w:autoSpaceDN w:val="0"/>
              <w:adjustRightInd w:val="0"/>
              <w:ind w:left="376"/>
              <w:jc w:val="both"/>
              <w:rPr>
                <w:rFonts w:ascii="Arial" w:hAnsi="Arial" w:cs="Arial"/>
                <w:sz w:val="20"/>
                <w:szCs w:val="20"/>
              </w:rPr>
            </w:pPr>
            <w:r w:rsidRPr="005D2156">
              <w:rPr>
                <w:rFonts w:ascii="Arial" w:hAnsi="Arial" w:cs="Arial"/>
                <w:sz w:val="20"/>
                <w:szCs w:val="20"/>
              </w:rPr>
              <w:t>Following on from the recent property fraud scams regarding the sale of properties without the knowledge of their owners, Consumer Protection, Landgate, REIWA and AICWA have been working together to define additional practices that need to be introduced in the industry to minimise the likelihood of property fraud in the future.</w:t>
            </w:r>
          </w:p>
          <w:p w:rsidR="00ED1D95" w:rsidRPr="005D2156" w:rsidRDefault="00ED1D95" w:rsidP="00136217">
            <w:pPr>
              <w:autoSpaceDE w:val="0"/>
              <w:autoSpaceDN w:val="0"/>
              <w:adjustRightInd w:val="0"/>
              <w:jc w:val="both"/>
              <w:rPr>
                <w:rFonts w:ascii="Arial" w:hAnsi="Arial" w:cs="Arial"/>
                <w:sz w:val="20"/>
                <w:szCs w:val="20"/>
              </w:rPr>
            </w:pPr>
          </w:p>
        </w:tc>
      </w:tr>
    </w:tbl>
    <w:p w:rsidR="00215674" w:rsidRDefault="00215674" w:rsidP="00C56627"/>
    <w:p w:rsidR="0079126B" w:rsidRPr="0079126B" w:rsidRDefault="0079126B" w:rsidP="0079126B"/>
    <w:p w:rsidR="0079126B" w:rsidRDefault="0079126B"/>
    <w:sectPr w:rsidR="0079126B" w:rsidSect="00260500">
      <w:footerReference w:type="default" r:id="rId8"/>
      <w:pgSz w:w="16838" w:h="11906" w:orient="landscape"/>
      <w:pgMar w:top="1440" w:right="1440" w:bottom="1440" w:left="1440"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16B" w:rsidRDefault="0017416B" w:rsidP="00E62D53">
      <w:pPr>
        <w:spacing w:after="0" w:line="240" w:lineRule="auto"/>
      </w:pPr>
      <w:r>
        <w:separator/>
      </w:r>
    </w:p>
  </w:endnote>
  <w:endnote w:type="continuationSeparator" w:id="0">
    <w:p w:rsidR="0017416B" w:rsidRDefault="0017416B" w:rsidP="00E6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89508"/>
      <w:docPartObj>
        <w:docPartGallery w:val="Page Numbers (Bottom of Page)"/>
        <w:docPartUnique/>
      </w:docPartObj>
    </w:sdtPr>
    <w:sdtEndPr/>
    <w:sdtContent>
      <w:sdt>
        <w:sdtPr>
          <w:id w:val="312304488"/>
          <w:docPartObj>
            <w:docPartGallery w:val="Page Numbers (Top of Page)"/>
            <w:docPartUnique/>
          </w:docPartObj>
        </w:sdtPr>
        <w:sdtEndPr/>
        <w:sdtContent>
          <w:p w:rsidR="00504888" w:rsidRDefault="00504888" w:rsidP="00260500">
            <w:pPr>
              <w:pStyle w:val="Footer"/>
              <w:tabs>
                <w:tab w:val="clear" w:pos="9026"/>
                <w:tab w:val="right" w:pos="14459"/>
              </w:tabs>
              <w:ind w:left="4847" w:right="-643" w:firstLine="8113"/>
            </w:pPr>
            <w:r>
              <w:t xml:space="preserve">Page </w:t>
            </w:r>
            <w:r>
              <w:rPr>
                <w:b/>
                <w:bCs/>
                <w:sz w:val="24"/>
                <w:szCs w:val="24"/>
              </w:rPr>
              <w:fldChar w:fldCharType="begin"/>
            </w:r>
            <w:r>
              <w:rPr>
                <w:b/>
                <w:bCs/>
              </w:rPr>
              <w:instrText xml:space="preserve"> PAGE </w:instrText>
            </w:r>
            <w:r>
              <w:rPr>
                <w:b/>
                <w:bCs/>
                <w:sz w:val="24"/>
                <w:szCs w:val="24"/>
              </w:rPr>
              <w:fldChar w:fldCharType="separate"/>
            </w:r>
            <w:r w:rsidR="000E7172">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7172">
              <w:rPr>
                <w:b/>
                <w:bCs/>
                <w:noProof/>
              </w:rPr>
              <w:t>18</w:t>
            </w:r>
            <w:r>
              <w:rPr>
                <w:b/>
                <w:bCs/>
                <w:sz w:val="24"/>
                <w:szCs w:val="24"/>
              </w:rPr>
              <w:fldChar w:fldCharType="end"/>
            </w:r>
          </w:p>
          <w:p w:rsidR="00504888" w:rsidRDefault="0017416B">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16B" w:rsidRDefault="0017416B" w:rsidP="00E62D53">
      <w:pPr>
        <w:spacing w:after="0" w:line="240" w:lineRule="auto"/>
      </w:pPr>
      <w:r>
        <w:separator/>
      </w:r>
    </w:p>
  </w:footnote>
  <w:footnote w:type="continuationSeparator" w:id="0">
    <w:p w:rsidR="0017416B" w:rsidRDefault="0017416B" w:rsidP="00E62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A03"/>
    <w:multiLevelType w:val="hybridMultilevel"/>
    <w:tmpl w:val="79F08126"/>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8773EC"/>
    <w:multiLevelType w:val="hybridMultilevel"/>
    <w:tmpl w:val="8F6A6FB6"/>
    <w:lvl w:ilvl="0" w:tplc="0C090011">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8D5411"/>
    <w:multiLevelType w:val="hybridMultilevel"/>
    <w:tmpl w:val="2EDC12AA"/>
    <w:lvl w:ilvl="0" w:tplc="39C8046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944971"/>
    <w:multiLevelType w:val="hybridMultilevel"/>
    <w:tmpl w:val="89864318"/>
    <w:lvl w:ilvl="0" w:tplc="0C090011">
      <w:start w:val="1"/>
      <w:numFmt w:val="decimal"/>
      <w:lvlText w:val="%1)"/>
      <w:lvlJc w:val="left"/>
      <w:pPr>
        <w:ind w:left="782" w:hanging="360"/>
      </w:p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4" w15:restartNumberingAfterBreak="0">
    <w:nsid w:val="33AD31B3"/>
    <w:multiLevelType w:val="hybridMultilevel"/>
    <w:tmpl w:val="DAA0AB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642B51"/>
    <w:multiLevelType w:val="hybridMultilevel"/>
    <w:tmpl w:val="10F04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6068CC"/>
    <w:multiLevelType w:val="hybridMultilevel"/>
    <w:tmpl w:val="43384CBE"/>
    <w:lvl w:ilvl="0" w:tplc="0C090011">
      <w:start w:val="1"/>
      <w:numFmt w:val="decimal"/>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7" w15:restartNumberingAfterBreak="0">
    <w:nsid w:val="364F2BDB"/>
    <w:multiLevelType w:val="hybridMultilevel"/>
    <w:tmpl w:val="D53AB85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960D30"/>
    <w:multiLevelType w:val="hybridMultilevel"/>
    <w:tmpl w:val="CC02E88E"/>
    <w:lvl w:ilvl="0" w:tplc="39C8046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BC0507"/>
    <w:multiLevelType w:val="hybridMultilevel"/>
    <w:tmpl w:val="EAD823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AF003D"/>
    <w:multiLevelType w:val="hybridMultilevel"/>
    <w:tmpl w:val="BDB443C8"/>
    <w:lvl w:ilvl="0" w:tplc="0C090011">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822A64"/>
    <w:multiLevelType w:val="hybridMultilevel"/>
    <w:tmpl w:val="5A4EF45E"/>
    <w:lvl w:ilvl="0" w:tplc="0C090011">
      <w:start w:val="1"/>
      <w:numFmt w:val="decimal"/>
      <w:lvlText w:val="%1)"/>
      <w:lvlJc w:val="left"/>
      <w:pPr>
        <w:ind w:left="360" w:hanging="360"/>
      </w:p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12" w15:restartNumberingAfterBreak="0">
    <w:nsid w:val="56332FD4"/>
    <w:multiLevelType w:val="hybridMultilevel"/>
    <w:tmpl w:val="7318EE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872401"/>
    <w:multiLevelType w:val="hybridMultilevel"/>
    <w:tmpl w:val="23608C48"/>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DB521BE"/>
    <w:multiLevelType w:val="hybridMultilevel"/>
    <w:tmpl w:val="8214BB8A"/>
    <w:lvl w:ilvl="0" w:tplc="0C090011">
      <w:start w:val="1"/>
      <w:numFmt w:val="decimal"/>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15:restartNumberingAfterBreak="0">
    <w:nsid w:val="5F6615B8"/>
    <w:multiLevelType w:val="hybridMultilevel"/>
    <w:tmpl w:val="F85A3128"/>
    <w:lvl w:ilvl="0" w:tplc="0C090011">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3A2C57"/>
    <w:multiLevelType w:val="hybridMultilevel"/>
    <w:tmpl w:val="11A2EE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2124D3"/>
    <w:multiLevelType w:val="hybridMultilevel"/>
    <w:tmpl w:val="FD58D6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9330E3"/>
    <w:multiLevelType w:val="hybridMultilevel"/>
    <w:tmpl w:val="7318EE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4569E7"/>
    <w:multiLevelType w:val="hybridMultilevel"/>
    <w:tmpl w:val="205EF6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9"/>
  </w:num>
  <w:num w:numId="5">
    <w:abstractNumId w:val="2"/>
  </w:num>
  <w:num w:numId="6">
    <w:abstractNumId w:val="19"/>
  </w:num>
  <w:num w:numId="7">
    <w:abstractNumId w:val="1"/>
  </w:num>
  <w:num w:numId="8">
    <w:abstractNumId w:val="7"/>
  </w:num>
  <w:num w:numId="9">
    <w:abstractNumId w:val="16"/>
  </w:num>
  <w:num w:numId="10">
    <w:abstractNumId w:val="6"/>
  </w:num>
  <w:num w:numId="11">
    <w:abstractNumId w:val="14"/>
  </w:num>
  <w:num w:numId="12">
    <w:abstractNumId w:val="10"/>
  </w:num>
  <w:num w:numId="13">
    <w:abstractNumId w:val="4"/>
  </w:num>
  <w:num w:numId="14">
    <w:abstractNumId w:val="13"/>
  </w:num>
  <w:num w:numId="15">
    <w:abstractNumId w:val="0"/>
  </w:num>
  <w:num w:numId="16">
    <w:abstractNumId w:val="8"/>
  </w:num>
  <w:num w:numId="17">
    <w:abstractNumId w:val="5"/>
  </w:num>
  <w:num w:numId="18">
    <w:abstractNumId w:val="12"/>
  </w:num>
  <w:num w:numId="19">
    <w:abstractNumId w:val="18"/>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49"/>
    <w:rsid w:val="000163D5"/>
    <w:rsid w:val="00047715"/>
    <w:rsid w:val="00061FF2"/>
    <w:rsid w:val="00072350"/>
    <w:rsid w:val="0007511E"/>
    <w:rsid w:val="0007660B"/>
    <w:rsid w:val="0009584F"/>
    <w:rsid w:val="00097D49"/>
    <w:rsid w:val="000A5F9A"/>
    <w:rsid w:val="000E7172"/>
    <w:rsid w:val="000F050A"/>
    <w:rsid w:val="000F182E"/>
    <w:rsid w:val="00127578"/>
    <w:rsid w:val="00130E02"/>
    <w:rsid w:val="00136217"/>
    <w:rsid w:val="00147630"/>
    <w:rsid w:val="00151691"/>
    <w:rsid w:val="001544CC"/>
    <w:rsid w:val="00164B2D"/>
    <w:rsid w:val="00170CF6"/>
    <w:rsid w:val="00173366"/>
    <w:rsid w:val="0017416B"/>
    <w:rsid w:val="0018296B"/>
    <w:rsid w:val="00196BAA"/>
    <w:rsid w:val="001A4813"/>
    <w:rsid w:val="001D7331"/>
    <w:rsid w:val="001E330D"/>
    <w:rsid w:val="001F0613"/>
    <w:rsid w:val="00202FE4"/>
    <w:rsid w:val="00215674"/>
    <w:rsid w:val="00215C6B"/>
    <w:rsid w:val="00246EB4"/>
    <w:rsid w:val="0025137B"/>
    <w:rsid w:val="00255AAD"/>
    <w:rsid w:val="00260500"/>
    <w:rsid w:val="002732D2"/>
    <w:rsid w:val="002811BB"/>
    <w:rsid w:val="00282650"/>
    <w:rsid w:val="00283C46"/>
    <w:rsid w:val="00287A27"/>
    <w:rsid w:val="002B5EFB"/>
    <w:rsid w:val="002E300C"/>
    <w:rsid w:val="00302949"/>
    <w:rsid w:val="00304C70"/>
    <w:rsid w:val="00313D27"/>
    <w:rsid w:val="00316225"/>
    <w:rsid w:val="00374208"/>
    <w:rsid w:val="00380A9C"/>
    <w:rsid w:val="003A64B2"/>
    <w:rsid w:val="003C4BDD"/>
    <w:rsid w:val="003C57B4"/>
    <w:rsid w:val="003D5CAC"/>
    <w:rsid w:val="003F065D"/>
    <w:rsid w:val="00412E13"/>
    <w:rsid w:val="0041466A"/>
    <w:rsid w:val="00416AD9"/>
    <w:rsid w:val="0042413C"/>
    <w:rsid w:val="004251D5"/>
    <w:rsid w:val="0043130C"/>
    <w:rsid w:val="00434A65"/>
    <w:rsid w:val="00473D30"/>
    <w:rsid w:val="004F3F61"/>
    <w:rsid w:val="00500161"/>
    <w:rsid w:val="00504888"/>
    <w:rsid w:val="00520C2F"/>
    <w:rsid w:val="00536A1B"/>
    <w:rsid w:val="00542C5F"/>
    <w:rsid w:val="005711B3"/>
    <w:rsid w:val="00580A1D"/>
    <w:rsid w:val="0059034A"/>
    <w:rsid w:val="005A2592"/>
    <w:rsid w:val="005C34CD"/>
    <w:rsid w:val="005D2156"/>
    <w:rsid w:val="005D2D78"/>
    <w:rsid w:val="005E320D"/>
    <w:rsid w:val="00610642"/>
    <w:rsid w:val="00647FDD"/>
    <w:rsid w:val="006719F6"/>
    <w:rsid w:val="00671F6A"/>
    <w:rsid w:val="00676CA3"/>
    <w:rsid w:val="006826EA"/>
    <w:rsid w:val="006D4B1E"/>
    <w:rsid w:val="006E6EDC"/>
    <w:rsid w:val="006E722A"/>
    <w:rsid w:val="006F12FD"/>
    <w:rsid w:val="006F62E5"/>
    <w:rsid w:val="00707CA6"/>
    <w:rsid w:val="00713EE5"/>
    <w:rsid w:val="0071743C"/>
    <w:rsid w:val="00720EE0"/>
    <w:rsid w:val="00737ACD"/>
    <w:rsid w:val="0074319B"/>
    <w:rsid w:val="00745A89"/>
    <w:rsid w:val="00751F1A"/>
    <w:rsid w:val="00760C82"/>
    <w:rsid w:val="00780A8A"/>
    <w:rsid w:val="00790A42"/>
    <w:rsid w:val="0079126B"/>
    <w:rsid w:val="00794498"/>
    <w:rsid w:val="00796B4F"/>
    <w:rsid w:val="007A3D45"/>
    <w:rsid w:val="007A58B7"/>
    <w:rsid w:val="007D073C"/>
    <w:rsid w:val="007F11E5"/>
    <w:rsid w:val="00820657"/>
    <w:rsid w:val="008215DD"/>
    <w:rsid w:val="00841492"/>
    <w:rsid w:val="00842B1D"/>
    <w:rsid w:val="00875DDA"/>
    <w:rsid w:val="008B2A43"/>
    <w:rsid w:val="008B6601"/>
    <w:rsid w:val="008E61D7"/>
    <w:rsid w:val="008F5AD7"/>
    <w:rsid w:val="00936D49"/>
    <w:rsid w:val="009428E9"/>
    <w:rsid w:val="009442F3"/>
    <w:rsid w:val="00947C21"/>
    <w:rsid w:val="0095306C"/>
    <w:rsid w:val="0096760B"/>
    <w:rsid w:val="00977485"/>
    <w:rsid w:val="009C5164"/>
    <w:rsid w:val="009E1F24"/>
    <w:rsid w:val="009F03AB"/>
    <w:rsid w:val="009F44B9"/>
    <w:rsid w:val="009F6EC0"/>
    <w:rsid w:val="009F7E68"/>
    <w:rsid w:val="00A21C51"/>
    <w:rsid w:val="00A26B90"/>
    <w:rsid w:val="00A4376C"/>
    <w:rsid w:val="00A455E7"/>
    <w:rsid w:val="00A50069"/>
    <w:rsid w:val="00A50C61"/>
    <w:rsid w:val="00A725BD"/>
    <w:rsid w:val="00A74595"/>
    <w:rsid w:val="00A838A9"/>
    <w:rsid w:val="00A9475D"/>
    <w:rsid w:val="00AD366A"/>
    <w:rsid w:val="00AD7E16"/>
    <w:rsid w:val="00AE43E5"/>
    <w:rsid w:val="00AF4670"/>
    <w:rsid w:val="00AF6637"/>
    <w:rsid w:val="00AF7FE2"/>
    <w:rsid w:val="00B00678"/>
    <w:rsid w:val="00B05175"/>
    <w:rsid w:val="00B165DC"/>
    <w:rsid w:val="00B37EF0"/>
    <w:rsid w:val="00B75B07"/>
    <w:rsid w:val="00B77E28"/>
    <w:rsid w:val="00B87C0D"/>
    <w:rsid w:val="00B92437"/>
    <w:rsid w:val="00BA0395"/>
    <w:rsid w:val="00C00551"/>
    <w:rsid w:val="00C06515"/>
    <w:rsid w:val="00C1216E"/>
    <w:rsid w:val="00C12994"/>
    <w:rsid w:val="00C527DA"/>
    <w:rsid w:val="00C541B9"/>
    <w:rsid w:val="00C56627"/>
    <w:rsid w:val="00C8241D"/>
    <w:rsid w:val="00CA5C35"/>
    <w:rsid w:val="00CF1450"/>
    <w:rsid w:val="00CF1959"/>
    <w:rsid w:val="00CF5E0C"/>
    <w:rsid w:val="00CF60DF"/>
    <w:rsid w:val="00CF71A7"/>
    <w:rsid w:val="00D06FF8"/>
    <w:rsid w:val="00D2171D"/>
    <w:rsid w:val="00D21736"/>
    <w:rsid w:val="00D27167"/>
    <w:rsid w:val="00D37B66"/>
    <w:rsid w:val="00D46D44"/>
    <w:rsid w:val="00D479FD"/>
    <w:rsid w:val="00D60498"/>
    <w:rsid w:val="00D9722D"/>
    <w:rsid w:val="00DC1A90"/>
    <w:rsid w:val="00DC2974"/>
    <w:rsid w:val="00DE64A1"/>
    <w:rsid w:val="00DF3524"/>
    <w:rsid w:val="00E10F5D"/>
    <w:rsid w:val="00E143F0"/>
    <w:rsid w:val="00E23C97"/>
    <w:rsid w:val="00E62D53"/>
    <w:rsid w:val="00E63FD7"/>
    <w:rsid w:val="00E830B2"/>
    <w:rsid w:val="00EB4D2A"/>
    <w:rsid w:val="00ED1D95"/>
    <w:rsid w:val="00EF26CF"/>
    <w:rsid w:val="00EF42BE"/>
    <w:rsid w:val="00F12751"/>
    <w:rsid w:val="00F240BB"/>
    <w:rsid w:val="00F246BD"/>
    <w:rsid w:val="00F36E05"/>
    <w:rsid w:val="00F41040"/>
    <w:rsid w:val="00F52074"/>
    <w:rsid w:val="00F96871"/>
    <w:rsid w:val="00FB4843"/>
    <w:rsid w:val="00FC2621"/>
    <w:rsid w:val="00FC793B"/>
    <w:rsid w:val="00FF24C6"/>
    <w:rsid w:val="00F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FC53"/>
  <w15:docId w15:val="{C275F370-F2B3-4B68-9689-7610FE62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1E"/>
  </w:style>
  <w:style w:type="paragraph" w:styleId="Heading1">
    <w:name w:val="heading 1"/>
    <w:basedOn w:val="Normal"/>
    <w:next w:val="Normal"/>
    <w:link w:val="Heading1Char"/>
    <w:uiPriority w:val="9"/>
    <w:qFormat/>
    <w:rsid w:val="00A72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5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95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19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37B"/>
    <w:pPr>
      <w:ind w:left="720"/>
      <w:contextualSpacing/>
    </w:pPr>
  </w:style>
  <w:style w:type="table" w:customStyle="1" w:styleId="TableGrid1">
    <w:name w:val="Table Grid1"/>
    <w:basedOn w:val="TableNormal"/>
    <w:next w:val="TableGrid"/>
    <w:uiPriority w:val="59"/>
    <w:rsid w:val="00E6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D53"/>
  </w:style>
  <w:style w:type="paragraph" w:styleId="Footer">
    <w:name w:val="footer"/>
    <w:basedOn w:val="Normal"/>
    <w:link w:val="FooterChar"/>
    <w:uiPriority w:val="99"/>
    <w:unhideWhenUsed/>
    <w:rsid w:val="00E62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53"/>
  </w:style>
  <w:style w:type="paragraph" w:styleId="BalloonText">
    <w:name w:val="Balloon Text"/>
    <w:basedOn w:val="Normal"/>
    <w:link w:val="BalloonTextChar"/>
    <w:uiPriority w:val="99"/>
    <w:semiHidden/>
    <w:unhideWhenUsed/>
    <w:rsid w:val="0054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5F"/>
    <w:rPr>
      <w:rFonts w:ascii="Tahoma" w:hAnsi="Tahoma" w:cs="Tahoma"/>
      <w:sz w:val="16"/>
      <w:szCs w:val="16"/>
    </w:rPr>
  </w:style>
  <w:style w:type="paragraph" w:styleId="NoSpacing">
    <w:name w:val="No Spacing"/>
    <w:uiPriority w:val="1"/>
    <w:qFormat/>
    <w:rsid w:val="00A725BD"/>
    <w:pPr>
      <w:spacing w:after="0" w:line="240" w:lineRule="auto"/>
    </w:pPr>
  </w:style>
  <w:style w:type="character" w:customStyle="1" w:styleId="Heading1Char">
    <w:name w:val="Heading 1 Char"/>
    <w:basedOn w:val="DefaultParagraphFont"/>
    <w:link w:val="Heading1"/>
    <w:uiPriority w:val="9"/>
    <w:rsid w:val="00A725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25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25B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811BB"/>
    <w:rPr>
      <w:color w:val="0000FF" w:themeColor="hyperlink"/>
      <w:u w:val="single"/>
    </w:rPr>
  </w:style>
  <w:style w:type="paragraph" w:customStyle="1" w:styleId="Default">
    <w:name w:val="Default"/>
    <w:rsid w:val="00D9722D"/>
    <w:pPr>
      <w:autoSpaceDE w:val="0"/>
      <w:autoSpaceDN w:val="0"/>
      <w:adjustRightInd w:val="0"/>
      <w:spacing w:after="0" w:line="240" w:lineRule="auto"/>
    </w:pPr>
    <w:rPr>
      <w:rFonts w:ascii="Helvetica 65 Medium" w:hAnsi="Helvetica 65 Medium" w:cs="Helvetica 65 Medium"/>
      <w:color w:val="000000"/>
      <w:sz w:val="24"/>
      <w:szCs w:val="24"/>
    </w:rPr>
  </w:style>
  <w:style w:type="paragraph" w:customStyle="1" w:styleId="Pa3">
    <w:name w:val="Pa3"/>
    <w:basedOn w:val="Default"/>
    <w:next w:val="Default"/>
    <w:uiPriority w:val="99"/>
    <w:rsid w:val="00D9722D"/>
    <w:pPr>
      <w:spacing w:line="221" w:lineRule="atLeast"/>
    </w:pPr>
    <w:rPr>
      <w:rFonts w:cstheme="minorBidi"/>
      <w:color w:val="auto"/>
    </w:rPr>
  </w:style>
  <w:style w:type="paragraph" w:customStyle="1" w:styleId="Pa12">
    <w:name w:val="Pa12"/>
    <w:basedOn w:val="Default"/>
    <w:next w:val="Default"/>
    <w:uiPriority w:val="99"/>
    <w:rsid w:val="00BA0395"/>
    <w:pPr>
      <w:spacing w:line="221" w:lineRule="atLeast"/>
    </w:pPr>
    <w:rPr>
      <w:rFonts w:cstheme="minorBidi"/>
      <w:color w:val="auto"/>
    </w:rPr>
  </w:style>
  <w:style w:type="character" w:customStyle="1" w:styleId="Heading4Char">
    <w:name w:val="Heading 4 Char"/>
    <w:basedOn w:val="DefaultParagraphFont"/>
    <w:link w:val="Heading4"/>
    <w:uiPriority w:val="9"/>
    <w:rsid w:val="00CF19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1959"/>
    <w:rPr>
      <w:rFonts w:asciiTheme="majorHAnsi" w:eastAsiaTheme="majorEastAsia" w:hAnsiTheme="majorHAnsi" w:cstheme="majorBidi"/>
      <w:color w:val="243F60" w:themeColor="accent1" w:themeShade="7F"/>
    </w:rPr>
  </w:style>
  <w:style w:type="paragraph" w:customStyle="1" w:styleId="Pa2">
    <w:name w:val="Pa2"/>
    <w:basedOn w:val="Default"/>
    <w:next w:val="Default"/>
    <w:uiPriority w:val="99"/>
    <w:rsid w:val="00313D27"/>
    <w:pPr>
      <w:spacing w:line="191" w:lineRule="atLeast"/>
    </w:pPr>
    <w:rPr>
      <w:rFonts w:ascii="Calibri Light" w:hAnsi="Calibri Light" w:cstheme="minorBidi"/>
      <w:color w:val="auto"/>
    </w:rPr>
  </w:style>
  <w:style w:type="paragraph" w:customStyle="1" w:styleId="Pa5">
    <w:name w:val="Pa5"/>
    <w:basedOn w:val="Default"/>
    <w:next w:val="Default"/>
    <w:uiPriority w:val="99"/>
    <w:rsid w:val="003C57B4"/>
    <w:pPr>
      <w:spacing w:line="281" w:lineRule="atLeast"/>
    </w:pPr>
    <w:rPr>
      <w:rFonts w:ascii="Cambria Math" w:hAnsi="Cambria Math"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422C-4CD4-4B9D-AB38-110C3B9D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A7FAAE</Template>
  <TotalTime>5</TotalTime>
  <Pages>18</Pages>
  <Words>5547</Words>
  <Characters>29734</Characters>
  <Application>Microsoft Office Word</Application>
  <DocSecurity>0</DocSecurity>
  <Lines>825</Lines>
  <Paragraphs>282</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Cormack</dc:creator>
  <cp:lastModifiedBy>VAN DER LOO, Trish</cp:lastModifiedBy>
  <cp:revision>4</cp:revision>
  <cp:lastPrinted>2014-02-06T00:55:00Z</cp:lastPrinted>
  <dcterms:created xsi:type="dcterms:W3CDTF">2014-05-20T02:05:00Z</dcterms:created>
  <dcterms:modified xsi:type="dcterms:W3CDTF">2019-05-16T06:54:00Z</dcterms:modified>
</cp:coreProperties>
</file>