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12" w:rsidRPr="00E92812" w:rsidRDefault="00E92812" w:rsidP="00E92812"/>
    <w:p w:rsidR="00E92812" w:rsidRPr="00E92812" w:rsidRDefault="00E92812" w:rsidP="00E92812"/>
    <w:p w:rsidR="00E92812" w:rsidRPr="00E92812" w:rsidRDefault="00E92812" w:rsidP="00E92812"/>
    <w:p w:rsidR="00E92812" w:rsidRPr="00E92812" w:rsidRDefault="00E92812" w:rsidP="00E92812"/>
    <w:p w:rsidR="005E5548" w:rsidRPr="005E5548" w:rsidRDefault="00BB19C2" w:rsidP="001D1A7C">
      <w:pPr>
        <w:pStyle w:val="Heading1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Checklist – </w:t>
      </w:r>
      <w:r w:rsidR="00D179EB">
        <w:rPr>
          <w:b w:val="0"/>
          <w:sz w:val="40"/>
          <w:szCs w:val="40"/>
        </w:rPr>
        <w:t>Construction site security</w:t>
      </w:r>
      <w:r w:rsidR="006C7275">
        <w:rPr>
          <w:b w:val="0"/>
          <w:sz w:val="40"/>
          <w:szCs w:val="40"/>
        </w:rPr>
        <w:t xml:space="preserve"> </w:t>
      </w:r>
      <w:r w:rsidR="005E5548" w:rsidRPr="005E5548">
        <w:rPr>
          <w:b w:val="0"/>
          <w:sz w:val="40"/>
          <w:szCs w:val="40"/>
        </w:rPr>
        <w:t xml:space="preserve"> </w:t>
      </w:r>
    </w:p>
    <w:p w:rsidR="005E5548" w:rsidRPr="00042EC1" w:rsidRDefault="005E5548" w:rsidP="00E157A6">
      <w:pPr>
        <w:pStyle w:val="Heading2"/>
      </w:pPr>
      <w:r w:rsidRPr="007B307C">
        <w:t>Scope</w:t>
      </w:r>
      <w:r w:rsidRPr="00042EC1">
        <w:t xml:space="preserve"> </w:t>
      </w:r>
    </w:p>
    <w:p w:rsidR="0062165D" w:rsidRPr="00E157A6" w:rsidRDefault="00042EC1" w:rsidP="00E157A6">
      <w:r w:rsidRPr="00E157A6">
        <w:t xml:space="preserve">This </w:t>
      </w:r>
      <w:r w:rsidR="000A07A4" w:rsidRPr="00E157A6">
        <w:t>checklist is a tool to assist</w:t>
      </w:r>
      <w:r w:rsidRPr="00E157A6">
        <w:t xml:space="preserve"> duty holders</w:t>
      </w:r>
      <w:r w:rsidR="00D179EB" w:rsidRPr="00E157A6">
        <w:t>, including</w:t>
      </w:r>
      <w:r w:rsidRPr="00E157A6">
        <w:t xml:space="preserve"> persons </w:t>
      </w:r>
      <w:r w:rsidR="00D179EB" w:rsidRPr="00E157A6">
        <w:t xml:space="preserve">with management or control of a workplace </w:t>
      </w:r>
      <w:r w:rsidRPr="00E157A6">
        <w:t xml:space="preserve">involved in the </w:t>
      </w:r>
      <w:r w:rsidR="00D179EB" w:rsidRPr="00E157A6">
        <w:t>construction</w:t>
      </w:r>
      <w:r w:rsidRPr="00E157A6">
        <w:t xml:space="preserve"> industry</w:t>
      </w:r>
      <w:r w:rsidR="009A0D4B" w:rsidRPr="00E157A6">
        <w:t xml:space="preserve"> to</w:t>
      </w:r>
      <w:r w:rsidRPr="00E157A6">
        <w:t xml:space="preserve"> manage their </w:t>
      </w:r>
      <w:r w:rsidR="00D179EB" w:rsidRPr="00E157A6">
        <w:t xml:space="preserve">site security </w:t>
      </w:r>
      <w:r w:rsidRPr="00E157A6">
        <w:t xml:space="preserve">duties under work health and safety </w:t>
      </w:r>
      <w:r w:rsidR="000A07A4" w:rsidRPr="00E157A6">
        <w:t xml:space="preserve">(WHS) </w:t>
      </w:r>
      <w:r w:rsidRPr="00E157A6">
        <w:t>laws.</w:t>
      </w:r>
      <w:r w:rsidR="00BC7B4C" w:rsidRPr="00E157A6">
        <w:t xml:space="preserve"> </w:t>
      </w:r>
      <w:r w:rsidR="00FC75EB" w:rsidRPr="00E157A6">
        <w:t xml:space="preserve">The checklist can be applied to construction, demolition, renovation and extension sites. </w:t>
      </w:r>
      <w:r w:rsidR="00BC7B4C" w:rsidRPr="00E157A6">
        <w:t xml:space="preserve">It highlights relevant considerations for these tasks but does not cover all WHS requirements. </w:t>
      </w:r>
    </w:p>
    <w:p w:rsidR="003431C5" w:rsidRDefault="00071524" w:rsidP="00E157A6">
      <w:pPr>
        <w:pStyle w:val="Heading2"/>
      </w:pPr>
      <w:r w:rsidRPr="00E157A6">
        <w:t xml:space="preserve">Checklist for </w:t>
      </w:r>
      <w:r w:rsidR="00D179EB" w:rsidRPr="00E157A6">
        <w:t xml:space="preserve">construction site security </w:t>
      </w:r>
    </w:p>
    <w:tbl>
      <w:tblPr>
        <w:tblW w:w="5000" w:type="pct"/>
        <w:jc w:val="center"/>
        <w:tblBorders>
          <w:top w:val="single" w:sz="4" w:space="0" w:color="215868"/>
          <w:bottom w:val="single" w:sz="4" w:space="0" w:color="215868"/>
          <w:insideH w:val="single" w:sz="4" w:space="0" w:color="215868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8"/>
        <w:gridCol w:w="8502"/>
      </w:tblGrid>
      <w:tr w:rsidR="00A17BD7" w:rsidRPr="00EC51E9" w:rsidTr="00427E6A">
        <w:trPr>
          <w:cantSplit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215868"/>
              <w:bottom w:val="single" w:sz="4" w:space="0" w:color="215868"/>
            </w:tcBorders>
            <w:shd w:val="clear" w:color="auto" w:fill="auto"/>
          </w:tcPr>
          <w:p w:rsidR="00A17BD7" w:rsidRPr="00EC51E9" w:rsidRDefault="00A17BD7" w:rsidP="00427E6A">
            <w:pPr>
              <w:spacing w:before="60" w:after="60"/>
              <w:rPr>
                <w:rFonts w:cs="Arial"/>
                <w:b/>
                <w:noProof/>
                <w:color w:val="006B6E"/>
                <w:szCs w:val="22"/>
              </w:rPr>
            </w:pPr>
            <w:r>
              <w:rPr>
                <w:rFonts w:cs="Arial"/>
                <w:b/>
                <w:noProof/>
                <w:color w:val="006B6E"/>
                <w:szCs w:val="22"/>
              </w:rPr>
              <w:t xml:space="preserve">Site security requirements – risk assessment considerations </w:t>
            </w:r>
          </w:p>
        </w:tc>
      </w:tr>
      <w:bookmarkStart w:id="0" w:name="_GoBack"/>
      <w:tr w:rsidR="00A17BD7" w:rsidRPr="00EA2569" w:rsidTr="00427E6A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A17BD7" w:rsidRPr="001D5BF2" w:rsidRDefault="00A17BD7" w:rsidP="00427E6A">
            <w:pPr>
              <w:pStyle w:val="Tabletext"/>
              <w:rPr>
                <w:rFonts w:cs="Arial"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4713" w:type="pct"/>
            <w:shd w:val="clear" w:color="auto" w:fill="auto"/>
          </w:tcPr>
          <w:p w:rsidR="00A17BD7" w:rsidRDefault="00A17BD7" w:rsidP="00427E6A">
            <w:pPr>
              <w:pStyle w:val="Tabletext"/>
            </w:pPr>
            <w:r>
              <w:t>The risks to health and safety on the site have been assessed, including: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excavations and holes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accessible utilities and services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slipping and tripping hazards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hazardous materials/chemicals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opportunities for climbing and falls from height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 xml:space="preserve">loose </w:t>
            </w:r>
            <w:r w:rsidR="00092116">
              <w:t>item</w:t>
            </w:r>
            <w:r>
              <w:t>s and materials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accessible plants and tools</w:t>
            </w:r>
          </w:p>
          <w:p w:rsidR="00A17BD7" w:rsidRPr="00EA2569" w:rsidRDefault="00A17BD7" w:rsidP="00A17BD7">
            <w:pPr>
              <w:pStyle w:val="Tabletext"/>
              <w:numPr>
                <w:ilvl w:val="0"/>
                <w:numId w:val="11"/>
              </w:numPr>
            </w:pPr>
            <w:r>
              <w:t>other hazards</w:t>
            </w:r>
          </w:p>
        </w:tc>
      </w:tr>
      <w:tr w:rsidR="00A17BD7" w:rsidRPr="00EA2569" w:rsidTr="00427E6A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A17BD7" w:rsidRPr="00F10C4B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A17BD7" w:rsidRDefault="00A17BD7" w:rsidP="00427E6A">
            <w:pPr>
              <w:pStyle w:val="Tabletext"/>
            </w:pPr>
            <w:r>
              <w:t>The likelihood of unauthorised access has been assessed, including the site proximity to: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schools and childcare facilities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entertainment and recreation facilities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shopping centres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public transport stops and stations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pedestrian traffic routes or areas</w:t>
            </w:r>
          </w:p>
          <w:p w:rsidR="00A17BD7" w:rsidRPr="00EA2569" w:rsidRDefault="00A17BD7" w:rsidP="00A17BD7">
            <w:pPr>
              <w:pStyle w:val="Tabletext"/>
              <w:numPr>
                <w:ilvl w:val="0"/>
                <w:numId w:val="12"/>
              </w:numPr>
            </w:pPr>
            <w:r>
              <w:t>other public places and facilities</w:t>
            </w:r>
          </w:p>
        </w:tc>
      </w:tr>
      <w:tr w:rsidR="00A17BD7" w:rsidTr="00427E6A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A17BD7" w:rsidRPr="00F10C4B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A17BD7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It is reasonably practicable to provide a site fence </w:t>
            </w:r>
          </w:p>
        </w:tc>
      </w:tr>
      <w:tr w:rsidR="00A17BD7" w:rsidRPr="00D54471" w:rsidTr="00427E6A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A17BD7" w:rsidRPr="00F10C4B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A17BD7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There are other appropriate site security measures, in addition or as an alternative to a site fence, including the:  </w:t>
            </w:r>
          </w:p>
          <w:p w:rsidR="00A17BD7" w:rsidRDefault="00A17BD7" w:rsidP="00A17BD7">
            <w:pPr>
              <w:pStyle w:val="Tabletex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hazards isolated by fencing a smaller area</w:t>
            </w:r>
          </w:p>
          <w:p w:rsidR="00A17BD7" w:rsidRPr="00D54471" w:rsidRDefault="00A17BD7" w:rsidP="00A17BD7">
            <w:pPr>
              <w:pStyle w:val="Tabletex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building secured to prevent access to all hazards located internally </w:t>
            </w:r>
          </w:p>
        </w:tc>
      </w:tr>
      <w:tr w:rsidR="00A17BD7" w:rsidRPr="0030120E" w:rsidTr="00427E6A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A17BD7" w:rsidRPr="00F10C4B" w:rsidRDefault="00A17BD7" w:rsidP="00427E6A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A17BD7" w:rsidRPr="0030120E" w:rsidRDefault="00A17BD7" w:rsidP="00427E6A">
            <w:pPr>
              <w:pStyle w:val="Tabletext"/>
            </w:pPr>
            <w:r>
              <w:t>The current site security measures are regularly reviewed</w:t>
            </w:r>
          </w:p>
        </w:tc>
      </w:tr>
    </w:tbl>
    <w:p w:rsidR="00A17BD7" w:rsidRPr="00A17BD7" w:rsidRDefault="00A17BD7" w:rsidP="00C53A3F"/>
    <w:tbl>
      <w:tblPr>
        <w:tblW w:w="5000" w:type="pct"/>
        <w:jc w:val="center"/>
        <w:tblBorders>
          <w:top w:val="single" w:sz="4" w:space="0" w:color="215868"/>
          <w:bottom w:val="single" w:sz="4" w:space="0" w:color="215868"/>
          <w:insideH w:val="single" w:sz="4" w:space="0" w:color="215868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8"/>
        <w:gridCol w:w="8502"/>
      </w:tblGrid>
      <w:tr w:rsidR="00462E7E" w:rsidRPr="001D5BF2" w:rsidTr="007219CE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62E7E" w:rsidRPr="00EC51E9" w:rsidRDefault="00D179EB" w:rsidP="00920951">
            <w:pPr>
              <w:spacing w:before="60" w:after="60"/>
              <w:rPr>
                <w:rFonts w:cs="Arial"/>
                <w:b/>
                <w:noProof/>
                <w:color w:val="006B6E"/>
                <w:szCs w:val="22"/>
              </w:rPr>
            </w:pPr>
            <w:r w:rsidRPr="00EC51E9">
              <w:rPr>
                <w:rFonts w:cs="Arial"/>
                <w:b/>
                <w:noProof/>
                <w:color w:val="006B6E"/>
                <w:szCs w:val="22"/>
              </w:rPr>
              <w:lastRenderedPageBreak/>
              <w:t xml:space="preserve">Fencing </w:t>
            </w:r>
            <w:r w:rsidR="007A0732" w:rsidRPr="00EC51E9">
              <w:rPr>
                <w:rFonts w:cs="Arial"/>
                <w:b/>
                <w:noProof/>
                <w:color w:val="006B6E"/>
                <w:szCs w:val="22"/>
              </w:rPr>
              <w:t>– temporary or permanent</w:t>
            </w:r>
          </w:p>
        </w:tc>
      </w:tr>
      <w:tr w:rsidR="003D0C0A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3D0C0A" w:rsidRPr="001D5BF2" w:rsidRDefault="00C67E02" w:rsidP="00EA2569">
            <w:pPr>
              <w:pStyle w:val="Tabletext"/>
              <w:rPr>
                <w:rFonts w:cs="Arial"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4713" w:type="pct"/>
            <w:shd w:val="clear" w:color="auto" w:fill="auto"/>
          </w:tcPr>
          <w:p w:rsidR="00F10C4B" w:rsidRPr="00EA2569" w:rsidRDefault="00D179EB" w:rsidP="00EA2569">
            <w:pPr>
              <w:pStyle w:val="Tabletext"/>
            </w:pPr>
            <w:r w:rsidRPr="00EA2569">
              <w:t>Fence encloses the entire building site</w:t>
            </w:r>
          </w:p>
        </w:tc>
      </w:tr>
      <w:tr w:rsidR="00D80C19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D80C19" w:rsidRPr="00F10C4B" w:rsidRDefault="00920951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D80C19" w:rsidRPr="00EA2569" w:rsidRDefault="00D80C19" w:rsidP="00EA2569">
            <w:pPr>
              <w:pStyle w:val="Tabletext"/>
            </w:pPr>
            <w:r w:rsidRPr="00EA2569">
              <w:t>Fencing is a suitable height to discourage scaling</w:t>
            </w:r>
          </w:p>
        </w:tc>
      </w:tr>
      <w:tr w:rsidR="004E1E05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4E1E05" w:rsidRPr="00F10C4B" w:rsidRDefault="00920951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383E9D" w:rsidRDefault="00383E9D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t>F</w:t>
            </w:r>
            <w:r w:rsidR="009B009D">
              <w:rPr>
                <w:noProof/>
              </w:rPr>
              <w:t>ence</w:t>
            </w:r>
            <w:r>
              <w:rPr>
                <w:noProof/>
              </w:rPr>
              <w:t xml:space="preserve"> is adequate to prevent access to the site by:</w:t>
            </w:r>
          </w:p>
          <w:p w:rsidR="00383E9D" w:rsidRPr="00A92E72" w:rsidRDefault="00383E9D" w:rsidP="000B22CD">
            <w:pPr>
              <w:pStyle w:val="Tabletext"/>
              <w:numPr>
                <w:ilvl w:val="0"/>
                <w:numId w:val="5"/>
              </w:numPr>
            </w:pPr>
            <w:r w:rsidRPr="00A92E72">
              <w:t>crawling under the fence</w:t>
            </w:r>
          </w:p>
          <w:p w:rsidR="00383E9D" w:rsidRPr="00A92E72" w:rsidRDefault="00383E9D" w:rsidP="000B22CD">
            <w:pPr>
              <w:pStyle w:val="Tabletext"/>
              <w:numPr>
                <w:ilvl w:val="0"/>
                <w:numId w:val="5"/>
              </w:numPr>
            </w:pPr>
            <w:r w:rsidRPr="00A92E72">
              <w:t>scaling the fence</w:t>
            </w:r>
          </w:p>
          <w:p w:rsidR="004E1E05" w:rsidRDefault="00383E9D" w:rsidP="000B22CD">
            <w:pPr>
              <w:pStyle w:val="Tabletext"/>
              <w:numPr>
                <w:ilvl w:val="0"/>
                <w:numId w:val="5"/>
              </w:numPr>
              <w:rPr>
                <w:noProof/>
              </w:rPr>
            </w:pPr>
            <w:r w:rsidRPr="00A92E72">
              <w:t>moving fence panels</w:t>
            </w:r>
          </w:p>
        </w:tc>
      </w:tr>
      <w:tr w:rsidR="00D80C19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D80C19" w:rsidRPr="00F10C4B" w:rsidRDefault="00920951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D80C19" w:rsidRDefault="00AC7F7F" w:rsidP="0030120E">
            <w:pPr>
              <w:pStyle w:val="Tabletext"/>
              <w:rPr>
                <w:noProof/>
              </w:rPr>
            </w:pPr>
            <w:r>
              <w:rPr>
                <w:noProof/>
              </w:rPr>
              <w:t>Fence is installed in line with the instructions of the designer, manufacturer and installer, including</w:t>
            </w:r>
            <w:r w:rsidR="00D80C19">
              <w:rPr>
                <w:noProof/>
              </w:rPr>
              <w:t>:</w:t>
            </w:r>
          </w:p>
          <w:p w:rsidR="00D80C19" w:rsidRPr="00A92E72" w:rsidRDefault="00AC7F7F" w:rsidP="000B22CD">
            <w:pPr>
              <w:pStyle w:val="Tabletext"/>
              <w:numPr>
                <w:ilvl w:val="0"/>
                <w:numId w:val="6"/>
              </w:numPr>
            </w:pPr>
            <w:r>
              <w:t xml:space="preserve">fence panels </w:t>
            </w:r>
            <w:r w:rsidR="00D80C19" w:rsidRPr="00A92E72">
              <w:t>have base supports</w:t>
            </w:r>
            <w:r>
              <w:t xml:space="preserve"> that are positioned correctly</w:t>
            </w:r>
          </w:p>
          <w:p w:rsidR="00AC7F7F" w:rsidRDefault="00D80C19">
            <w:pPr>
              <w:pStyle w:val="Tabletext"/>
              <w:numPr>
                <w:ilvl w:val="0"/>
                <w:numId w:val="6"/>
              </w:numPr>
              <w:rPr>
                <w:noProof/>
              </w:rPr>
            </w:pPr>
            <w:r w:rsidRPr="00A92E72">
              <w:t>brackets or clamps</w:t>
            </w:r>
            <w:r w:rsidR="00AC7F7F">
              <w:t xml:space="preserve"> are used to</w:t>
            </w:r>
            <w:r w:rsidRPr="00A92E72">
              <w:t xml:space="preserve"> secure panels together</w:t>
            </w:r>
          </w:p>
          <w:p w:rsidR="00D80C19" w:rsidRPr="00D54471" w:rsidRDefault="00D80C19">
            <w:pPr>
              <w:pStyle w:val="Tabletext"/>
              <w:numPr>
                <w:ilvl w:val="0"/>
                <w:numId w:val="6"/>
              </w:numPr>
              <w:rPr>
                <w:noProof/>
              </w:rPr>
            </w:pPr>
            <w:r w:rsidRPr="00A92E72">
              <w:t xml:space="preserve">the fence is not weakened </w:t>
            </w:r>
            <w:r w:rsidR="00AC7F7F">
              <w:t>at the</w:t>
            </w:r>
            <w:r w:rsidR="00AC7F7F" w:rsidRPr="00A92E72">
              <w:t xml:space="preserve"> </w:t>
            </w:r>
            <w:r w:rsidRPr="00A92E72">
              <w:t>joints</w:t>
            </w:r>
            <w:r w:rsidR="006C7275">
              <w:rPr>
                <w:noProof/>
              </w:rPr>
              <w:t xml:space="preserve"> </w:t>
            </w:r>
          </w:p>
        </w:tc>
      </w:tr>
      <w:tr w:rsidR="00F604D6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F604D6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F604D6" w:rsidRPr="0030120E" w:rsidRDefault="00383E9D" w:rsidP="0030120E">
            <w:pPr>
              <w:pStyle w:val="Tabletext"/>
            </w:pPr>
            <w:r w:rsidRPr="0030120E">
              <w:t>F</w:t>
            </w:r>
            <w:r w:rsidR="009B009D" w:rsidRPr="0030120E">
              <w:t>ence</w:t>
            </w:r>
            <w:r w:rsidRPr="0030120E">
              <w:t xml:space="preserve"> is complete, with no gaps or openings that could allow access</w:t>
            </w:r>
          </w:p>
        </w:tc>
      </w:tr>
      <w:tr w:rsidR="008C6353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8C6353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8C6353" w:rsidRPr="0030120E" w:rsidRDefault="008C6353" w:rsidP="006879C0">
            <w:pPr>
              <w:pStyle w:val="Tabletext"/>
            </w:pPr>
            <w:r w:rsidRPr="0030120E">
              <w:t>Fence does not have footholds or large mesh that allows climbing</w:t>
            </w:r>
          </w:p>
        </w:tc>
      </w:tr>
      <w:tr w:rsidR="008C6353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8C6353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8C6353" w:rsidRPr="0030120E" w:rsidRDefault="008C6353" w:rsidP="0030120E">
            <w:pPr>
              <w:pStyle w:val="Tabletext"/>
            </w:pPr>
            <w:r w:rsidRPr="0030120E">
              <w:t>Pallets and other items that can be climbed are not stored near the fence</w:t>
            </w:r>
          </w:p>
        </w:tc>
      </w:tr>
      <w:tr w:rsidR="00383E9D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383E9D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383E9D" w:rsidRPr="0030120E" w:rsidRDefault="00383E9D">
            <w:pPr>
              <w:pStyle w:val="Tabletext"/>
            </w:pPr>
            <w:r w:rsidRPr="0030120E">
              <w:t>Fencin</w:t>
            </w:r>
            <w:r w:rsidR="00FC75EB" w:rsidRPr="0030120E">
              <w:t xml:space="preserve">g can withstand anticipated </w:t>
            </w:r>
            <w:r w:rsidR="000672C8" w:rsidRPr="0030120E">
              <w:t xml:space="preserve">loads including </w:t>
            </w:r>
            <w:r w:rsidR="00FC75EB" w:rsidRPr="0030120E">
              <w:t>wind</w:t>
            </w:r>
            <w:r w:rsidR="00F20396" w:rsidRPr="0030120E">
              <w:t xml:space="preserve"> </w:t>
            </w:r>
          </w:p>
        </w:tc>
      </w:tr>
      <w:tr w:rsidR="00383E9D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383E9D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383E9D" w:rsidRPr="0030120E" w:rsidRDefault="00383E9D" w:rsidP="0030120E">
            <w:pPr>
              <w:pStyle w:val="Tabletext"/>
            </w:pPr>
            <w:r w:rsidRPr="0030120E">
              <w:t>Gates are sturdy</w:t>
            </w:r>
            <w:r w:rsidR="00387080" w:rsidRPr="0030120E">
              <w:t>, can be locked</w:t>
            </w:r>
            <w:r w:rsidR="008C6353" w:rsidRPr="0030120E">
              <w:t>,</w:t>
            </w:r>
            <w:r w:rsidRPr="0030120E">
              <w:t xml:space="preserve"> provide adequate security</w:t>
            </w:r>
            <w:r w:rsidR="008C6353" w:rsidRPr="0030120E">
              <w:t xml:space="preserve"> and cannot be opened enough to allow a child to slip through</w:t>
            </w:r>
          </w:p>
        </w:tc>
      </w:tr>
      <w:tr w:rsidR="00FC75EB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FC75EB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FC75EB" w:rsidRPr="0030120E" w:rsidRDefault="00FC75EB" w:rsidP="0030120E">
            <w:pPr>
              <w:pStyle w:val="Tabletext"/>
            </w:pPr>
            <w:r w:rsidRPr="0030120E">
              <w:t>Star pickets and sharp posts are capped</w:t>
            </w:r>
          </w:p>
        </w:tc>
      </w:tr>
      <w:tr w:rsidR="008C6353" w:rsidRPr="001D5BF2" w:rsidTr="007219CE">
        <w:trPr>
          <w:cantSplit/>
          <w:jc w:val="center"/>
        </w:trPr>
        <w:tc>
          <w:tcPr>
            <w:tcW w:w="287" w:type="pct"/>
            <w:shd w:val="clear" w:color="auto" w:fill="auto"/>
          </w:tcPr>
          <w:p w:rsidR="008C6353" w:rsidRPr="00F10C4B" w:rsidRDefault="00EE1209" w:rsidP="00EA2569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A1587">
              <w:rPr>
                <w:noProof/>
              </w:rPr>
            </w:r>
            <w:r w:rsidR="002A158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713" w:type="pct"/>
            <w:shd w:val="clear" w:color="auto" w:fill="auto"/>
          </w:tcPr>
          <w:p w:rsidR="008C6353" w:rsidRPr="0030120E" w:rsidRDefault="008C6353" w:rsidP="0030120E">
            <w:pPr>
              <w:pStyle w:val="Tabletext"/>
            </w:pPr>
            <w:r w:rsidRPr="0030120E">
              <w:t>Fire-retardant mesh is used if required</w:t>
            </w:r>
          </w:p>
        </w:tc>
      </w:tr>
    </w:tbl>
    <w:p w:rsidR="004F6585" w:rsidRPr="00BC3A1B" w:rsidRDefault="004F6585" w:rsidP="00BC3A1B"/>
    <w:tbl>
      <w:tblPr>
        <w:tblW w:w="5000" w:type="pct"/>
        <w:jc w:val="center"/>
        <w:tblBorders>
          <w:top w:val="single" w:sz="4" w:space="0" w:color="215868"/>
          <w:bottom w:val="single" w:sz="4" w:space="0" w:color="215868"/>
          <w:insideH w:val="single" w:sz="4" w:space="0" w:color="215868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8454"/>
      </w:tblGrid>
      <w:tr w:rsidR="004F6585" w:rsidRPr="003030DE" w:rsidTr="00E045D1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F6585" w:rsidRPr="00CA3066" w:rsidRDefault="00D80C19" w:rsidP="004E0B2D">
            <w:pPr>
              <w:spacing w:before="60" w:after="60"/>
              <w:rPr>
                <w:rFonts w:cs="Arial"/>
                <w:b/>
                <w:noProof/>
                <w:color w:val="006B6E"/>
                <w:szCs w:val="22"/>
              </w:rPr>
            </w:pPr>
            <w:r w:rsidRPr="00CA3066">
              <w:rPr>
                <w:rFonts w:cs="Arial"/>
                <w:b/>
                <w:noProof/>
                <w:color w:val="006B6E"/>
                <w:szCs w:val="22"/>
              </w:rPr>
              <w:t xml:space="preserve">Hazards managed before leaving site unattended </w:t>
            </w:r>
          </w:p>
        </w:tc>
      </w:tr>
      <w:tr w:rsidR="00D80C19" w:rsidRPr="00F10C4B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D80C19" w:rsidRPr="0058161F" w:rsidRDefault="00CA3066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D80C19" w:rsidRPr="0061029F" w:rsidRDefault="00D54471" w:rsidP="0061029F">
            <w:pPr>
              <w:pStyle w:val="Tabletext"/>
            </w:pPr>
            <w:r w:rsidRPr="0061029F">
              <w:t>Workers</w:t>
            </w:r>
            <w:r w:rsidR="00D80C19" w:rsidRPr="0061029F">
              <w:t xml:space="preserve"> secure the site or their work area against unauthorised access before they leave the site</w:t>
            </w:r>
          </w:p>
        </w:tc>
      </w:tr>
      <w:tr w:rsidR="00D80C19" w:rsidRPr="00F10C4B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D80C19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D80C19" w:rsidRPr="0061029F" w:rsidRDefault="00D80C19">
            <w:pPr>
              <w:pStyle w:val="Tabletext"/>
            </w:pPr>
            <w:r w:rsidRPr="0061029F">
              <w:t xml:space="preserve">Chemicals are stored </w:t>
            </w:r>
            <w:r w:rsidR="00AC7F7F">
              <w:t>safely</w:t>
            </w:r>
          </w:p>
        </w:tc>
      </w:tr>
      <w:tr w:rsidR="004F6585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4F6585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4F6585" w:rsidRPr="0061029F" w:rsidRDefault="00532AE2" w:rsidP="0061029F">
            <w:pPr>
              <w:pStyle w:val="Tabletext"/>
            </w:pPr>
            <w:r w:rsidRPr="0061029F">
              <w:t>Excavations are covered or ba</w:t>
            </w:r>
            <w:r w:rsidR="00F3627B" w:rsidRPr="0061029F">
              <w:t>r</w:t>
            </w:r>
            <w:r w:rsidRPr="0061029F">
              <w:t>ricaded to prevent falls</w:t>
            </w:r>
          </w:p>
        </w:tc>
      </w:tr>
      <w:tr w:rsidR="00F604D6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F604D6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F604D6" w:rsidRPr="0061029F" w:rsidRDefault="00532AE2" w:rsidP="0061029F">
            <w:pPr>
              <w:pStyle w:val="Tabletext"/>
            </w:pPr>
            <w:r w:rsidRPr="0061029F">
              <w:t>La</w:t>
            </w:r>
            <w:r w:rsidR="00F3627B" w:rsidRPr="0061029F">
              <w:t>d</w:t>
            </w:r>
            <w:r w:rsidRPr="0061029F">
              <w:t xml:space="preserve">ders are removed </w:t>
            </w:r>
            <w:r w:rsidR="00AC7F7F">
              <w:t xml:space="preserve">or positioned horizontally </w:t>
            </w:r>
            <w:r w:rsidRPr="0061029F">
              <w:t xml:space="preserve">to prevent access </w:t>
            </w:r>
            <w:r w:rsidR="00D80C19" w:rsidRPr="0061029F">
              <w:t>to heights</w:t>
            </w:r>
          </w:p>
        </w:tc>
      </w:tr>
      <w:tr w:rsidR="00DD067F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DD067F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DD067F" w:rsidRPr="0061029F" w:rsidRDefault="00532AE2" w:rsidP="0061029F">
            <w:pPr>
              <w:pStyle w:val="Tabletext"/>
            </w:pPr>
            <w:r w:rsidRPr="0061029F">
              <w:t>Voids and penetrations are covered or isolated</w:t>
            </w:r>
          </w:p>
        </w:tc>
      </w:tr>
      <w:tr w:rsidR="00532AE2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532AE2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50402D" w:rsidRDefault="00532AE2" w:rsidP="0061029F">
            <w:pPr>
              <w:pStyle w:val="Tabletext"/>
              <w:rPr>
                <w:noProof/>
              </w:rPr>
            </w:pPr>
            <w:r w:rsidRPr="0061029F">
              <w:t>P</w:t>
            </w:r>
            <w:r w:rsidR="0050402D" w:rsidRPr="0061029F">
              <w:t>lant</w:t>
            </w:r>
            <w:r w:rsidR="0050402D">
              <w:rPr>
                <w:noProof/>
              </w:rPr>
              <w:t xml:space="preserve"> </w:t>
            </w:r>
            <w:r>
              <w:rPr>
                <w:noProof/>
              </w:rPr>
              <w:t xml:space="preserve">has been removed </w:t>
            </w:r>
            <w:r w:rsidR="0050402D">
              <w:rPr>
                <w:noProof/>
              </w:rPr>
              <w:t xml:space="preserve">where practicable, </w:t>
            </w:r>
            <w:r>
              <w:rPr>
                <w:noProof/>
              </w:rPr>
              <w:t>or secure</w:t>
            </w:r>
            <w:r w:rsidR="0050402D">
              <w:rPr>
                <w:noProof/>
              </w:rPr>
              <w:t>d and stored:</w:t>
            </w:r>
          </w:p>
          <w:p w:rsidR="0050402D" w:rsidRPr="00A92E72" w:rsidRDefault="00532AE2" w:rsidP="000B22CD">
            <w:pPr>
              <w:pStyle w:val="Tabletext"/>
              <w:numPr>
                <w:ilvl w:val="0"/>
                <w:numId w:val="7"/>
              </w:numPr>
            </w:pPr>
            <w:r w:rsidRPr="00A92E72">
              <w:t xml:space="preserve">de-energised </w:t>
            </w:r>
            <w:r w:rsidR="0050402D" w:rsidRPr="00A92E72">
              <w:t>to prevent movement (e.g. moving parts lowered to ground level)</w:t>
            </w:r>
          </w:p>
          <w:p w:rsidR="0050402D" w:rsidRPr="00A92E72" w:rsidRDefault="00532AE2" w:rsidP="000B22CD">
            <w:pPr>
              <w:pStyle w:val="Tabletext"/>
              <w:numPr>
                <w:ilvl w:val="0"/>
                <w:numId w:val="7"/>
              </w:numPr>
            </w:pPr>
            <w:r w:rsidRPr="00A92E72">
              <w:t>with the keys removed</w:t>
            </w:r>
            <w:r w:rsidR="0050402D" w:rsidRPr="00A92E72">
              <w:t xml:space="preserve"> and stored in a safe place</w:t>
            </w:r>
          </w:p>
          <w:p w:rsidR="0050402D" w:rsidRPr="00A92E72" w:rsidRDefault="0050402D" w:rsidP="000B22CD">
            <w:pPr>
              <w:pStyle w:val="Tabletext"/>
              <w:numPr>
                <w:ilvl w:val="0"/>
                <w:numId w:val="7"/>
              </w:numPr>
            </w:pPr>
            <w:r w:rsidRPr="00A92E72">
              <w:t>according to the manufacturer’s instructions</w:t>
            </w:r>
          </w:p>
          <w:p w:rsidR="0050402D" w:rsidRPr="00A92E72" w:rsidRDefault="0050402D" w:rsidP="000B22CD">
            <w:pPr>
              <w:pStyle w:val="Tabletext"/>
              <w:numPr>
                <w:ilvl w:val="0"/>
                <w:numId w:val="7"/>
              </w:numPr>
            </w:pPr>
            <w:r w:rsidRPr="00A92E72">
              <w:t>with access doors closed and locked</w:t>
            </w:r>
          </w:p>
          <w:p w:rsidR="0050402D" w:rsidRPr="0050402D" w:rsidRDefault="0050402D" w:rsidP="000B22CD">
            <w:pPr>
              <w:pStyle w:val="Tabletext"/>
              <w:numPr>
                <w:ilvl w:val="0"/>
                <w:numId w:val="7"/>
              </w:numPr>
              <w:rPr>
                <w:noProof/>
              </w:rPr>
            </w:pPr>
            <w:r w:rsidRPr="00A92E72">
              <w:t>with adequate security screens</w:t>
            </w:r>
          </w:p>
        </w:tc>
      </w:tr>
      <w:tr w:rsidR="0050402D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50402D" w:rsidRPr="0058161F" w:rsidRDefault="004E0B2D" w:rsidP="0058161F">
            <w:pPr>
              <w:pStyle w:val="Tabletext"/>
            </w:pPr>
            <w:r w:rsidRPr="0058161F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50402D" w:rsidRDefault="0050402D" w:rsidP="009970B9">
            <w:pPr>
              <w:pStyle w:val="Tabletext"/>
              <w:rPr>
                <w:noProof/>
              </w:rPr>
            </w:pPr>
            <w:r w:rsidRPr="009970B9">
              <w:t>Tower</w:t>
            </w:r>
            <w:r>
              <w:rPr>
                <w:noProof/>
              </w:rPr>
              <w:t xml:space="preserve"> cranes are secured with:</w:t>
            </w:r>
          </w:p>
          <w:p w:rsidR="0050402D" w:rsidRPr="00A92E72" w:rsidRDefault="0050402D" w:rsidP="000B22CD">
            <w:pPr>
              <w:pStyle w:val="Tabletext"/>
              <w:numPr>
                <w:ilvl w:val="0"/>
                <w:numId w:val="8"/>
              </w:numPr>
            </w:pPr>
            <w:r w:rsidRPr="00A92E72">
              <w:t>access restric</w:t>
            </w:r>
            <w:r w:rsidR="00F3627B" w:rsidRPr="00A92E72">
              <w:t>t</w:t>
            </w:r>
            <w:r w:rsidRPr="00A92E72">
              <w:t>ed at all access points</w:t>
            </w:r>
          </w:p>
          <w:p w:rsidR="0050402D" w:rsidRPr="00A92E72" w:rsidRDefault="0050402D" w:rsidP="000B22CD">
            <w:pPr>
              <w:pStyle w:val="Tabletext"/>
              <w:numPr>
                <w:ilvl w:val="0"/>
                <w:numId w:val="8"/>
              </w:numPr>
            </w:pPr>
            <w:r w:rsidRPr="00A92E72">
              <w:t>suspended loads and lifting chains are removed and secured</w:t>
            </w:r>
          </w:p>
          <w:p w:rsidR="0050402D" w:rsidRPr="00A92E72" w:rsidRDefault="0050402D" w:rsidP="000B22CD">
            <w:pPr>
              <w:pStyle w:val="Tabletext"/>
              <w:numPr>
                <w:ilvl w:val="0"/>
                <w:numId w:val="8"/>
              </w:numPr>
            </w:pPr>
            <w:r w:rsidRPr="00A92E72">
              <w:t>the lifting ho</w:t>
            </w:r>
            <w:r w:rsidR="00062BB1" w:rsidRPr="00A92E72">
              <w:t>ok</w:t>
            </w:r>
            <w:r w:rsidRPr="00A92E72">
              <w:t xml:space="preserve"> raised and secured</w:t>
            </w:r>
          </w:p>
          <w:p w:rsidR="0050402D" w:rsidRPr="00A92E72" w:rsidRDefault="00415F3E" w:rsidP="000B22CD">
            <w:pPr>
              <w:pStyle w:val="Tabletext"/>
              <w:numPr>
                <w:ilvl w:val="0"/>
                <w:numId w:val="8"/>
              </w:numPr>
            </w:pPr>
            <w:r w:rsidRPr="00A92E72">
              <w:t>k</w:t>
            </w:r>
            <w:r w:rsidR="0050402D" w:rsidRPr="00A92E72">
              <w:t xml:space="preserve">eys removed and stored in a safe place </w:t>
            </w:r>
          </w:p>
          <w:p w:rsidR="0050402D" w:rsidRPr="00A92E72" w:rsidRDefault="00415F3E" w:rsidP="000B22CD">
            <w:pPr>
              <w:pStyle w:val="Tabletext"/>
              <w:numPr>
                <w:ilvl w:val="0"/>
                <w:numId w:val="8"/>
              </w:numPr>
            </w:pPr>
            <w:r w:rsidRPr="00A92E72">
              <w:t>the cabin door closed and locked (a mesh plate or barrier over the glass may be necessary in high-risk areas)</w:t>
            </w:r>
          </w:p>
          <w:p w:rsidR="00415F3E" w:rsidRPr="00415F3E" w:rsidRDefault="00415F3E" w:rsidP="000B22CD">
            <w:pPr>
              <w:pStyle w:val="Tabletext"/>
              <w:numPr>
                <w:ilvl w:val="0"/>
                <w:numId w:val="8"/>
              </w:numPr>
              <w:rPr>
                <w:noProof/>
              </w:rPr>
            </w:pPr>
            <w:r w:rsidRPr="00A92E72">
              <w:t>the crane in slew mode (following manufacturer’s instructions) to allow movement in high wind conditions</w:t>
            </w:r>
          </w:p>
        </w:tc>
      </w:tr>
      <w:tr w:rsidR="004F6585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4F6585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2A107F" w:rsidRPr="009970B9" w:rsidRDefault="00D80C19" w:rsidP="009970B9">
            <w:pPr>
              <w:pStyle w:val="Tabletext"/>
            </w:pPr>
            <w:r w:rsidRPr="009970B9">
              <w:t>Scaffolding is secure, with:</w:t>
            </w:r>
          </w:p>
          <w:p w:rsidR="00D80C19" w:rsidRPr="00990838" w:rsidRDefault="00D80C19" w:rsidP="000B22CD">
            <w:pPr>
              <w:pStyle w:val="Tabletext"/>
              <w:numPr>
                <w:ilvl w:val="0"/>
                <w:numId w:val="9"/>
              </w:numPr>
            </w:pPr>
            <w:r w:rsidRPr="00990838">
              <w:t>loose material removed and stored securely</w:t>
            </w:r>
          </w:p>
          <w:p w:rsidR="00D80C19" w:rsidRPr="00990838" w:rsidRDefault="00D80C19" w:rsidP="000B22CD">
            <w:pPr>
              <w:pStyle w:val="Tabletext"/>
              <w:numPr>
                <w:ilvl w:val="0"/>
                <w:numId w:val="9"/>
              </w:numPr>
            </w:pPr>
            <w:r w:rsidRPr="00990838">
              <w:t>planks adequately secured to prevent uplift from high winds</w:t>
            </w:r>
          </w:p>
          <w:p w:rsidR="00D80C19" w:rsidRPr="00990838" w:rsidRDefault="00D80C19" w:rsidP="000B22CD">
            <w:pPr>
              <w:pStyle w:val="Tabletext"/>
              <w:numPr>
                <w:ilvl w:val="0"/>
                <w:numId w:val="9"/>
              </w:numPr>
            </w:pPr>
            <w:r w:rsidRPr="00990838">
              <w:t>ties adequately positioned and secured, as per the scaffold design/plan, to prevent movement</w:t>
            </w:r>
          </w:p>
          <w:p w:rsidR="00D80C19" w:rsidRDefault="00D80C19" w:rsidP="000B22CD">
            <w:pPr>
              <w:pStyle w:val="Tabletext"/>
              <w:numPr>
                <w:ilvl w:val="0"/>
                <w:numId w:val="9"/>
              </w:numPr>
              <w:rPr>
                <w:noProof/>
              </w:rPr>
            </w:pPr>
            <w:r w:rsidRPr="00990838">
              <w:t>mesh and shade</w:t>
            </w:r>
            <w:r w:rsidR="00BC3A1B" w:rsidRPr="00990838">
              <w:t xml:space="preserve"> </w:t>
            </w:r>
            <w:r w:rsidRPr="00990838">
              <w:t>cloth adequately secured and fixed to minimise resistance in high wind conditions</w:t>
            </w:r>
          </w:p>
        </w:tc>
      </w:tr>
      <w:tr w:rsidR="001E323C" w:rsidTr="00E045D1">
        <w:trPr>
          <w:cantSplit/>
          <w:jc w:val="center"/>
        </w:trPr>
        <w:tc>
          <w:tcPr>
            <w:tcW w:w="314" w:type="pct"/>
            <w:shd w:val="clear" w:color="auto" w:fill="auto"/>
          </w:tcPr>
          <w:p w:rsidR="001E323C" w:rsidRPr="0058161F" w:rsidRDefault="004E0B2D" w:rsidP="0058161F">
            <w:pPr>
              <w:pStyle w:val="Tabletext"/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1E323C" w:rsidRDefault="001E323C" w:rsidP="004D49F7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Traffic </w:t>
            </w:r>
            <w:r w:rsidRPr="004D49F7">
              <w:t>control</w:t>
            </w:r>
            <w:r>
              <w:rPr>
                <w:noProof/>
              </w:rPr>
              <w:t xml:space="preserve"> measures align to the traffic control plan when the site is closed, and may include:</w:t>
            </w:r>
          </w:p>
          <w:p w:rsidR="001E323C" w:rsidRPr="004D49F7" w:rsidRDefault="001E323C" w:rsidP="000B22CD">
            <w:pPr>
              <w:pStyle w:val="Tabletext"/>
              <w:numPr>
                <w:ilvl w:val="0"/>
                <w:numId w:val="3"/>
              </w:numPr>
            </w:pPr>
            <w:r w:rsidRPr="004D49F7">
              <w:t xml:space="preserve">adequate water/concrete barriers installed and secured </w:t>
            </w:r>
          </w:p>
          <w:p w:rsidR="001E323C" w:rsidRPr="004D49F7" w:rsidRDefault="001E323C" w:rsidP="000B22CD">
            <w:pPr>
              <w:pStyle w:val="Tabletext"/>
              <w:numPr>
                <w:ilvl w:val="0"/>
                <w:numId w:val="3"/>
              </w:numPr>
            </w:pPr>
            <w:r w:rsidRPr="004D49F7">
              <w:t xml:space="preserve">traffic signage </w:t>
            </w:r>
          </w:p>
          <w:p w:rsidR="001E323C" w:rsidRPr="004D49F7" w:rsidRDefault="006E41CA" w:rsidP="000B22CD">
            <w:pPr>
              <w:pStyle w:val="Tabletext"/>
              <w:numPr>
                <w:ilvl w:val="0"/>
                <w:numId w:val="3"/>
              </w:numPr>
            </w:pPr>
            <w:r>
              <w:t xml:space="preserve">if required, </w:t>
            </w:r>
            <w:r w:rsidR="001E323C" w:rsidRPr="004D49F7">
              <w:t>road plates with non-slip surface are provided and secured</w:t>
            </w:r>
          </w:p>
          <w:p w:rsidR="001E323C" w:rsidRDefault="001E323C" w:rsidP="000B22CD">
            <w:pPr>
              <w:pStyle w:val="Tabletext"/>
              <w:numPr>
                <w:ilvl w:val="0"/>
                <w:numId w:val="3"/>
              </w:numPr>
              <w:rPr>
                <w:noProof/>
              </w:rPr>
            </w:pPr>
            <w:r w:rsidRPr="004D49F7">
              <w:t>ensuring footpaths are clear to prevent people walking on the road</w:t>
            </w:r>
          </w:p>
        </w:tc>
      </w:tr>
    </w:tbl>
    <w:p w:rsidR="003B2367" w:rsidRPr="00B14D8A" w:rsidRDefault="003B2367" w:rsidP="00B14D8A"/>
    <w:tbl>
      <w:tblPr>
        <w:tblW w:w="5000" w:type="pct"/>
        <w:jc w:val="center"/>
        <w:tblBorders>
          <w:top w:val="single" w:sz="4" w:space="0" w:color="215868"/>
          <w:bottom w:val="single" w:sz="4" w:space="0" w:color="215868"/>
          <w:insideH w:val="single" w:sz="4" w:space="0" w:color="215868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8454"/>
      </w:tblGrid>
      <w:tr w:rsidR="003B2367" w:rsidTr="00AE6755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B2367" w:rsidRPr="003B2367" w:rsidRDefault="003B2367" w:rsidP="00AE6755">
            <w:pPr>
              <w:pStyle w:val="Default"/>
              <w:spacing w:before="60" w:after="60"/>
              <w:rPr>
                <w:rFonts w:ascii="Arial" w:hAnsi="Arial" w:cs="Arial"/>
                <w:noProof/>
                <w:color w:val="006B6E"/>
                <w:sz w:val="22"/>
                <w:szCs w:val="22"/>
              </w:rPr>
            </w:pPr>
            <w:r w:rsidRPr="003B2367">
              <w:rPr>
                <w:rFonts w:ascii="Arial" w:hAnsi="Arial" w:cs="Arial"/>
                <w:b/>
                <w:noProof/>
                <w:color w:val="006B6E"/>
                <w:sz w:val="22"/>
                <w:szCs w:val="22"/>
              </w:rPr>
              <w:t>Signage</w:t>
            </w:r>
          </w:p>
        </w:tc>
      </w:tr>
      <w:tr w:rsidR="00147B66" w:rsidTr="00AE6755">
        <w:trPr>
          <w:cantSplit/>
          <w:tblHeader/>
          <w:jc w:val="center"/>
        </w:trPr>
        <w:tc>
          <w:tcPr>
            <w:tcW w:w="314" w:type="pct"/>
            <w:shd w:val="clear" w:color="auto" w:fill="auto"/>
          </w:tcPr>
          <w:p w:rsidR="00147B66" w:rsidRPr="00F10C4B" w:rsidRDefault="00B14D8A" w:rsidP="00AE6755">
            <w:pPr>
              <w:pStyle w:val="Tabletext"/>
              <w:rPr>
                <w:rFonts w:ascii="Segoe UI Symbol" w:hAnsi="Segoe UI Symbol" w:cs="Segoe UI Symbol"/>
                <w:noProof/>
                <w:szCs w:val="22"/>
              </w:rPr>
            </w:pPr>
            <w:r w:rsidRPr="005816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147B66" w:rsidRPr="00B14D8A" w:rsidRDefault="00147B66">
            <w:pPr>
              <w:pStyle w:val="Tabletext"/>
            </w:pPr>
            <w:r w:rsidRPr="00B14D8A">
              <w:t xml:space="preserve">Signage warns potential intruders of site security measures and hazards </w:t>
            </w:r>
          </w:p>
        </w:tc>
      </w:tr>
      <w:tr w:rsidR="00147B66" w:rsidTr="00AE6755">
        <w:trPr>
          <w:cantSplit/>
          <w:tblHeader/>
          <w:jc w:val="center"/>
        </w:trPr>
        <w:tc>
          <w:tcPr>
            <w:tcW w:w="314" w:type="pct"/>
            <w:shd w:val="clear" w:color="auto" w:fill="auto"/>
          </w:tcPr>
          <w:p w:rsidR="00147B66" w:rsidRPr="00F10C4B" w:rsidRDefault="00B14D8A" w:rsidP="00AE6755">
            <w:pPr>
              <w:pStyle w:val="Tabletext"/>
              <w:rPr>
                <w:rFonts w:ascii="Segoe UI Symbol" w:hAnsi="Segoe UI Symbol" w:cs="Segoe UI Symbol"/>
                <w:noProof/>
                <w:szCs w:val="22"/>
              </w:rPr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147B66" w:rsidRPr="00B14D8A" w:rsidRDefault="00147B66" w:rsidP="00AE6755">
            <w:pPr>
              <w:pStyle w:val="Tabletext"/>
            </w:pPr>
            <w:r w:rsidRPr="00B14D8A">
              <w:t>Signage includes phone number/s in case emergency services need to access the site</w:t>
            </w:r>
          </w:p>
        </w:tc>
      </w:tr>
      <w:tr w:rsidR="00147B66" w:rsidTr="00AE6755">
        <w:trPr>
          <w:cantSplit/>
          <w:tblHeader/>
          <w:jc w:val="center"/>
        </w:trPr>
        <w:tc>
          <w:tcPr>
            <w:tcW w:w="314" w:type="pct"/>
            <w:shd w:val="clear" w:color="auto" w:fill="auto"/>
          </w:tcPr>
          <w:p w:rsidR="00147B66" w:rsidRPr="00F10C4B" w:rsidRDefault="00B14D8A" w:rsidP="00AE6755">
            <w:pPr>
              <w:pStyle w:val="Tabletext"/>
              <w:rPr>
                <w:rFonts w:ascii="Segoe UI Symbol" w:hAnsi="Segoe UI Symbol" w:cs="Segoe UI Symbol"/>
                <w:noProof/>
                <w:szCs w:val="22"/>
              </w:rPr>
            </w:pPr>
            <w:r w:rsidRPr="005816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61F">
              <w:instrText xml:space="preserve"> FORMCHECKBOX </w:instrText>
            </w:r>
            <w:r w:rsidR="002A1587">
              <w:fldChar w:fldCharType="separate"/>
            </w:r>
            <w:r w:rsidRPr="0058161F">
              <w:fldChar w:fldCharType="end"/>
            </w:r>
          </w:p>
        </w:tc>
        <w:tc>
          <w:tcPr>
            <w:tcW w:w="4686" w:type="pct"/>
            <w:shd w:val="clear" w:color="auto" w:fill="auto"/>
          </w:tcPr>
          <w:p w:rsidR="00147B66" w:rsidRDefault="00147B66" w:rsidP="00AE6755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A sign is displayed in line with </w:t>
            </w:r>
            <w:hyperlink r:id="rId9" w:history="1">
              <w:r w:rsidRPr="002942CB">
                <w:rPr>
                  <w:rStyle w:val="Hyperlink"/>
                  <w:rFonts w:cs="Arial"/>
                  <w:noProof/>
                  <w:szCs w:val="22"/>
                </w:rPr>
                <w:t>Building and Energy’s requirements</w:t>
              </w:r>
            </w:hyperlink>
            <w:r>
              <w:rPr>
                <w:noProof/>
              </w:rPr>
              <w:t xml:space="preserve"> if the work is undertaken </w:t>
            </w:r>
            <w:r w:rsidRPr="00B14D8A">
              <w:t>by</w:t>
            </w:r>
            <w:r>
              <w:rPr>
                <w:noProof/>
              </w:rPr>
              <w:t xml:space="preserve"> a registered builder. The sign must: </w:t>
            </w:r>
          </w:p>
          <w:p w:rsidR="00147B66" w:rsidRPr="00A92E72" w:rsidRDefault="00147B66" w:rsidP="000B22CD">
            <w:pPr>
              <w:pStyle w:val="Tabletext"/>
              <w:numPr>
                <w:ilvl w:val="0"/>
                <w:numId w:val="4"/>
              </w:numPr>
            </w:pPr>
            <w:r w:rsidRPr="00A92E72">
              <w:t xml:space="preserve">be legible </w:t>
            </w:r>
          </w:p>
          <w:p w:rsidR="00147B66" w:rsidRPr="00A92E72" w:rsidRDefault="00147B66" w:rsidP="000B22CD">
            <w:pPr>
              <w:pStyle w:val="Tabletext"/>
              <w:numPr>
                <w:ilvl w:val="0"/>
                <w:numId w:val="4"/>
              </w:numPr>
            </w:pPr>
            <w:r w:rsidRPr="00A92E72">
              <w:t>be displayed in a prominent position on the site</w:t>
            </w:r>
          </w:p>
          <w:p w:rsidR="00147B66" w:rsidRPr="00A92E72" w:rsidRDefault="00147B66" w:rsidP="000B22CD">
            <w:pPr>
              <w:pStyle w:val="Tabletext"/>
              <w:numPr>
                <w:ilvl w:val="0"/>
                <w:numId w:val="4"/>
              </w:numPr>
            </w:pPr>
            <w:r w:rsidRPr="00A92E72">
              <w:t>be clearly visible to members of the public outside the site</w:t>
            </w:r>
          </w:p>
          <w:p w:rsidR="00147B66" w:rsidRPr="00A92E72" w:rsidRDefault="00147B66" w:rsidP="000B22CD">
            <w:pPr>
              <w:pStyle w:val="Tabletext"/>
              <w:numPr>
                <w:ilvl w:val="0"/>
                <w:numId w:val="4"/>
              </w:numPr>
            </w:pPr>
            <w:r w:rsidRPr="00A92E72">
              <w:t>contain the name and registration number of the building contractor and nominated supervisor</w:t>
            </w:r>
          </w:p>
          <w:p w:rsidR="00147B66" w:rsidRDefault="00147B66" w:rsidP="00AE6755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contain the contact phone </w:t>
            </w:r>
            <w:r w:rsidRPr="00AE6755">
              <w:t>number</w:t>
            </w:r>
            <w:r>
              <w:rPr>
                <w:noProof/>
              </w:rPr>
              <w:t xml:space="preserve"> of the building contractor </w:t>
            </w:r>
          </w:p>
        </w:tc>
      </w:tr>
    </w:tbl>
    <w:p w:rsidR="00092116" w:rsidRDefault="00092116" w:rsidP="00CB6073"/>
    <w:p w:rsidR="00092116" w:rsidRDefault="00092116">
      <w:pPr>
        <w:spacing w:after="0"/>
      </w:pPr>
      <w:r>
        <w:br w:type="page"/>
      </w:r>
    </w:p>
    <w:p w:rsidR="0062165D" w:rsidRPr="00726B31" w:rsidRDefault="000B690E" w:rsidP="00726B31">
      <w:pPr>
        <w:pStyle w:val="Heading2"/>
      </w:pPr>
      <w:r w:rsidRPr="00726B31">
        <w:lastRenderedPageBreak/>
        <w:t>F</w:t>
      </w:r>
      <w:r w:rsidR="0062165D" w:rsidRPr="00726B31">
        <w:t>urther information</w:t>
      </w:r>
    </w:p>
    <w:p w:rsidR="00706BC2" w:rsidRPr="00256ABE" w:rsidRDefault="00256ABE" w:rsidP="00256ABE">
      <w:r>
        <w:t>WorkSafe, Department of Mines, Industry Regulation and Safety</w:t>
      </w:r>
    </w:p>
    <w:p w:rsidR="001C60FF" w:rsidRPr="001C60FF" w:rsidRDefault="002A1587" w:rsidP="000B22CD">
      <w:pPr>
        <w:pStyle w:val="ListParagraph"/>
        <w:numPr>
          <w:ilvl w:val="0"/>
          <w:numId w:val="1"/>
        </w:numPr>
        <w:spacing w:before="120"/>
        <w:jc w:val="both"/>
        <w:rPr>
          <w:rFonts w:eastAsia="Arial" w:cs="Arial"/>
          <w:i/>
          <w:color w:val="000000"/>
          <w:spacing w:val="-3"/>
          <w:szCs w:val="22"/>
          <w:lang w:bidi="en-US"/>
        </w:rPr>
      </w:pPr>
      <w:hyperlink r:id="rId10" w:history="1">
        <w:r w:rsidR="000568CB">
          <w:rPr>
            <w:rStyle w:val="Hyperlink"/>
            <w:rFonts w:eastAsia="Arial" w:cs="Arial"/>
            <w:i/>
            <w:spacing w:val="-3"/>
            <w:szCs w:val="22"/>
            <w:lang w:bidi="en-US"/>
          </w:rPr>
          <w:t>Code of practice: Construction work</w:t>
        </w:r>
      </w:hyperlink>
      <w:r w:rsidR="001C60FF" w:rsidRPr="001C60FF">
        <w:rPr>
          <w:rFonts w:eastAsia="Arial" w:cs="Arial"/>
          <w:i/>
          <w:color w:val="000000"/>
          <w:spacing w:val="-3"/>
          <w:szCs w:val="22"/>
          <w:lang w:bidi="en-US"/>
        </w:rPr>
        <w:t xml:space="preserve"> </w:t>
      </w:r>
    </w:p>
    <w:p w:rsidR="001C60FF" w:rsidRDefault="002A1587" w:rsidP="000B22CD">
      <w:pPr>
        <w:pStyle w:val="ListParagraph"/>
        <w:numPr>
          <w:ilvl w:val="0"/>
          <w:numId w:val="1"/>
        </w:numPr>
        <w:spacing w:before="120"/>
        <w:jc w:val="both"/>
        <w:rPr>
          <w:rFonts w:eastAsia="Arial" w:cs="Arial"/>
          <w:i/>
          <w:color w:val="000000"/>
          <w:spacing w:val="-3"/>
          <w:szCs w:val="22"/>
          <w:lang w:bidi="en-US"/>
        </w:rPr>
      </w:pPr>
      <w:hyperlink r:id="rId11" w:history="1">
        <w:r w:rsidR="000568CB">
          <w:rPr>
            <w:rStyle w:val="Hyperlink"/>
            <w:rFonts w:eastAsia="Arial" w:cs="Arial"/>
            <w:i/>
            <w:spacing w:val="-3"/>
            <w:szCs w:val="22"/>
            <w:lang w:bidi="en-US"/>
          </w:rPr>
          <w:t>Code of practice: Demolition work</w:t>
        </w:r>
      </w:hyperlink>
      <w:r w:rsidR="001C60FF" w:rsidRPr="001C60FF">
        <w:rPr>
          <w:rFonts w:eastAsia="Arial" w:cs="Arial"/>
          <w:i/>
          <w:color w:val="000000"/>
          <w:spacing w:val="-3"/>
          <w:szCs w:val="22"/>
          <w:lang w:bidi="en-US"/>
        </w:rPr>
        <w:t xml:space="preserve"> </w:t>
      </w:r>
    </w:p>
    <w:p w:rsidR="001C60FF" w:rsidRPr="00FE40AE" w:rsidRDefault="002A1587" w:rsidP="000B22CD">
      <w:pPr>
        <w:pStyle w:val="ListParagraph"/>
        <w:numPr>
          <w:ilvl w:val="0"/>
          <w:numId w:val="1"/>
        </w:numPr>
        <w:spacing w:before="120"/>
        <w:jc w:val="both"/>
        <w:rPr>
          <w:color w:val="000000"/>
          <w:lang w:bidi="en-US"/>
        </w:rPr>
      </w:pPr>
      <w:hyperlink r:id="rId12" w:history="1">
        <w:r w:rsidR="00A32C69">
          <w:rPr>
            <w:rStyle w:val="Hyperlink"/>
            <w:rFonts w:eastAsia="Arial" w:cs="Arial"/>
            <w:i/>
            <w:spacing w:val="-3"/>
            <w:szCs w:val="22"/>
            <w:lang w:bidi="en-US"/>
          </w:rPr>
          <w:t>Code of practice: Managing risks of plant in the workplace</w:t>
        </w:r>
      </w:hyperlink>
    </w:p>
    <w:p w:rsidR="00F3627B" w:rsidRDefault="00F3627B" w:rsidP="00F3627B">
      <w:pPr>
        <w:spacing w:before="120"/>
        <w:jc w:val="both"/>
        <w:rPr>
          <w:rFonts w:eastAsia="Arial" w:cs="Arial"/>
          <w:color w:val="000000"/>
          <w:spacing w:val="-3"/>
          <w:szCs w:val="22"/>
          <w:lang w:bidi="en-US"/>
        </w:rPr>
      </w:pPr>
      <w:r>
        <w:rPr>
          <w:rFonts w:eastAsia="Arial" w:cs="Arial"/>
          <w:color w:val="000000"/>
          <w:spacing w:val="-3"/>
          <w:szCs w:val="22"/>
          <w:lang w:bidi="en-US"/>
        </w:rPr>
        <w:t>Building and Energy</w:t>
      </w:r>
      <w:r w:rsidR="00256ABE">
        <w:rPr>
          <w:rFonts w:eastAsia="Arial" w:cs="Arial"/>
          <w:color w:val="000000"/>
          <w:spacing w:val="-3"/>
          <w:szCs w:val="22"/>
          <w:lang w:bidi="en-US"/>
        </w:rPr>
        <w:t xml:space="preserve">, </w:t>
      </w:r>
      <w:r w:rsidR="00256ABE">
        <w:t>Department of Mines, Industry Regulation and Safety</w:t>
      </w:r>
    </w:p>
    <w:p w:rsidR="00F3627B" w:rsidRPr="007E6E5A" w:rsidRDefault="002A1587" w:rsidP="000B22CD">
      <w:pPr>
        <w:pStyle w:val="ListParagraph"/>
        <w:numPr>
          <w:ilvl w:val="0"/>
          <w:numId w:val="2"/>
        </w:numPr>
        <w:spacing w:before="120"/>
        <w:jc w:val="both"/>
        <w:rPr>
          <w:rFonts w:eastAsia="Arial" w:cs="Arial"/>
          <w:color w:val="000000"/>
          <w:spacing w:val="-3"/>
          <w:szCs w:val="22"/>
          <w:lang w:bidi="en-US"/>
        </w:rPr>
      </w:pPr>
      <w:hyperlink r:id="rId13" w:history="1">
        <w:r w:rsidR="00F3627B" w:rsidRPr="00A32C69">
          <w:rPr>
            <w:rStyle w:val="Hyperlink"/>
            <w:rFonts w:eastAsia="Arial" w:cs="Arial"/>
            <w:spacing w:val="-3"/>
            <w:szCs w:val="22"/>
            <w:lang w:bidi="en-US"/>
          </w:rPr>
          <w:t>Signage</w:t>
        </w:r>
      </w:hyperlink>
    </w:p>
    <w:sectPr w:rsidR="00F3627B" w:rsidRPr="007E6E5A" w:rsidSect="00CA3066"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87" w:rsidRDefault="002A1587" w:rsidP="00671991">
      <w:r>
        <w:separator/>
      </w:r>
    </w:p>
  </w:endnote>
  <w:endnote w:type="continuationSeparator" w:id="0">
    <w:p w:rsidR="002A1587" w:rsidRDefault="002A1587" w:rsidP="0067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53" w:rsidRPr="00510361" w:rsidRDefault="00510361" w:rsidP="00510361">
    <w:pPr>
      <w:pStyle w:val="Footer"/>
      <w:jc w:val="right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7EBC1DA" wp14:editId="5A78BAC2">
          <wp:simplePos x="0" y="0"/>
          <wp:positionH relativeFrom="column">
            <wp:posOffset>-1143000</wp:posOffset>
          </wp:positionH>
          <wp:positionV relativeFrom="paragraph">
            <wp:posOffset>-194945</wp:posOffset>
          </wp:positionV>
          <wp:extent cx="7560310" cy="539750"/>
          <wp:effectExtent l="0" t="0" r="0" b="0"/>
          <wp:wrapNone/>
          <wp:docPr id="22" name="Picture 22" descr="alt=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t=''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877">
      <w:rPr>
        <w:rFonts w:cs="Arial"/>
        <w:sz w:val="20"/>
        <w:szCs w:val="20"/>
      </w:rPr>
      <w:fldChar w:fldCharType="begin"/>
    </w:r>
    <w:r w:rsidRPr="00C82877">
      <w:rPr>
        <w:rFonts w:cs="Arial"/>
        <w:sz w:val="20"/>
        <w:szCs w:val="20"/>
      </w:rPr>
      <w:instrText xml:space="preserve"> PAGE   \* MERGEFORMAT </w:instrText>
    </w:r>
    <w:r w:rsidRPr="00C82877">
      <w:rPr>
        <w:rFonts w:cs="Arial"/>
        <w:sz w:val="20"/>
        <w:szCs w:val="20"/>
      </w:rPr>
      <w:fldChar w:fldCharType="separate"/>
    </w:r>
    <w:r w:rsidR="00F766A1">
      <w:rPr>
        <w:rFonts w:cs="Arial"/>
        <w:noProof/>
        <w:sz w:val="20"/>
        <w:szCs w:val="20"/>
      </w:rPr>
      <w:t>4</w:t>
    </w:r>
    <w:r w:rsidRPr="00C82877">
      <w:rPr>
        <w:rFonts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53" w:rsidRPr="00C82877" w:rsidRDefault="008C6353" w:rsidP="007F1D77">
    <w:pPr>
      <w:pStyle w:val="Footer"/>
      <w:jc w:val="right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655C9F7" wp14:editId="2492DB0A">
          <wp:simplePos x="0" y="0"/>
          <wp:positionH relativeFrom="column">
            <wp:posOffset>-1143000</wp:posOffset>
          </wp:positionH>
          <wp:positionV relativeFrom="paragraph">
            <wp:posOffset>-194945</wp:posOffset>
          </wp:positionV>
          <wp:extent cx="7560310" cy="539750"/>
          <wp:effectExtent l="0" t="0" r="0" b="0"/>
          <wp:wrapNone/>
          <wp:docPr id="24" name="Picture 24" descr="alt=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t=''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877">
      <w:rPr>
        <w:rFonts w:cs="Arial"/>
        <w:sz w:val="20"/>
        <w:szCs w:val="20"/>
      </w:rPr>
      <w:fldChar w:fldCharType="begin"/>
    </w:r>
    <w:r w:rsidRPr="00C82877">
      <w:rPr>
        <w:rFonts w:cs="Arial"/>
        <w:sz w:val="20"/>
        <w:szCs w:val="20"/>
      </w:rPr>
      <w:instrText xml:space="preserve"> PAGE   \* MERGEFORMAT </w:instrText>
    </w:r>
    <w:r w:rsidRPr="00C82877">
      <w:rPr>
        <w:rFonts w:cs="Arial"/>
        <w:sz w:val="20"/>
        <w:szCs w:val="20"/>
      </w:rPr>
      <w:fldChar w:fldCharType="separate"/>
    </w:r>
    <w:r w:rsidR="00F766A1">
      <w:rPr>
        <w:rFonts w:cs="Arial"/>
        <w:noProof/>
        <w:sz w:val="20"/>
        <w:szCs w:val="20"/>
      </w:rPr>
      <w:t>1</w:t>
    </w:r>
    <w:r w:rsidRPr="00C82877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87" w:rsidRDefault="002A1587" w:rsidP="00671991">
      <w:r>
        <w:separator/>
      </w:r>
    </w:p>
  </w:footnote>
  <w:footnote w:type="continuationSeparator" w:id="0">
    <w:p w:rsidR="002A1587" w:rsidRDefault="002A1587" w:rsidP="0067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53" w:rsidRDefault="00CF1D8F" w:rsidP="00671991">
    <w:pPr>
      <w:pStyle w:val="Header"/>
      <w:ind w:left="-1800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030D8075" wp14:editId="1EAE07FF">
          <wp:simplePos x="0" y="0"/>
          <wp:positionH relativeFrom="page">
            <wp:align>right</wp:align>
          </wp:positionH>
          <wp:positionV relativeFrom="paragraph">
            <wp:posOffset>-717550</wp:posOffset>
          </wp:positionV>
          <wp:extent cx="7638415" cy="1820284"/>
          <wp:effectExtent l="0" t="0" r="635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820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340"/>
    <w:multiLevelType w:val="hybridMultilevel"/>
    <w:tmpl w:val="4036C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758D6"/>
    <w:multiLevelType w:val="hybridMultilevel"/>
    <w:tmpl w:val="927AE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583"/>
    <w:multiLevelType w:val="hybridMultilevel"/>
    <w:tmpl w:val="F8B6E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95FD1"/>
    <w:multiLevelType w:val="hybridMultilevel"/>
    <w:tmpl w:val="64F20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2352C"/>
    <w:multiLevelType w:val="hybridMultilevel"/>
    <w:tmpl w:val="52C6C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6D0"/>
    <w:multiLevelType w:val="hybridMultilevel"/>
    <w:tmpl w:val="DB781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46519"/>
    <w:multiLevelType w:val="hybridMultilevel"/>
    <w:tmpl w:val="9C2A5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4061"/>
    <w:multiLevelType w:val="hybridMultilevel"/>
    <w:tmpl w:val="0E6A5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83628"/>
    <w:multiLevelType w:val="hybridMultilevel"/>
    <w:tmpl w:val="9B823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97873"/>
    <w:multiLevelType w:val="hybridMultilevel"/>
    <w:tmpl w:val="452C0B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D46B9"/>
    <w:multiLevelType w:val="hybridMultilevel"/>
    <w:tmpl w:val="AF389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31713"/>
    <w:multiLevelType w:val="hybridMultilevel"/>
    <w:tmpl w:val="EE165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71469"/>
    <w:multiLevelType w:val="hybridMultilevel"/>
    <w:tmpl w:val="7F10F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KbZPyQGaEjLzM+kR+hH964072Vj7iJGv85VfysY2JqaNY3bNPeBVfEN6YtLQjjn3McjWL9bksFSvqfp2bR3/w==" w:salt="HAZcEFoFc9PlFBupIbTk6A=="/>
  <w:defaultTabStop w:val="454"/>
  <w:characterSpacingControl w:val="doNotCompress"/>
  <w:hdrShapeDefaults>
    <o:shapedefaults v:ext="edit" spidmax="2049">
      <o:colormru v:ext="edit" colors="#7a0000,#1d4f5d,#235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1"/>
    <w:rsid w:val="00001153"/>
    <w:rsid w:val="00003B32"/>
    <w:rsid w:val="00004C21"/>
    <w:rsid w:val="00010B7F"/>
    <w:rsid w:val="000140AD"/>
    <w:rsid w:val="00023323"/>
    <w:rsid w:val="00023912"/>
    <w:rsid w:val="00023E38"/>
    <w:rsid w:val="00024EC4"/>
    <w:rsid w:val="00030CD3"/>
    <w:rsid w:val="00031ADF"/>
    <w:rsid w:val="0003495D"/>
    <w:rsid w:val="000415EA"/>
    <w:rsid w:val="00042EC1"/>
    <w:rsid w:val="00044668"/>
    <w:rsid w:val="000568CB"/>
    <w:rsid w:val="0005790D"/>
    <w:rsid w:val="00057CBA"/>
    <w:rsid w:val="000604BB"/>
    <w:rsid w:val="00061D8A"/>
    <w:rsid w:val="00062A8F"/>
    <w:rsid w:val="00062A95"/>
    <w:rsid w:val="00062BB1"/>
    <w:rsid w:val="00065A7A"/>
    <w:rsid w:val="00066F38"/>
    <w:rsid w:val="000672C8"/>
    <w:rsid w:val="00070B35"/>
    <w:rsid w:val="00071524"/>
    <w:rsid w:val="00072C88"/>
    <w:rsid w:val="00073497"/>
    <w:rsid w:val="000747B8"/>
    <w:rsid w:val="00077F4B"/>
    <w:rsid w:val="000849B4"/>
    <w:rsid w:val="00084B66"/>
    <w:rsid w:val="00092116"/>
    <w:rsid w:val="000969B5"/>
    <w:rsid w:val="000A07A4"/>
    <w:rsid w:val="000A531C"/>
    <w:rsid w:val="000A7F9F"/>
    <w:rsid w:val="000B22CD"/>
    <w:rsid w:val="000B337C"/>
    <w:rsid w:val="000B3FA9"/>
    <w:rsid w:val="000B690E"/>
    <w:rsid w:val="000C4957"/>
    <w:rsid w:val="000C750E"/>
    <w:rsid w:val="000D195C"/>
    <w:rsid w:val="000D3250"/>
    <w:rsid w:val="000D476E"/>
    <w:rsid w:val="000D4CF5"/>
    <w:rsid w:val="000D5E2A"/>
    <w:rsid w:val="000D6F03"/>
    <w:rsid w:val="000E6844"/>
    <w:rsid w:val="000E73F1"/>
    <w:rsid w:val="000F03AB"/>
    <w:rsid w:val="000F0EF4"/>
    <w:rsid w:val="000F44C7"/>
    <w:rsid w:val="000F5508"/>
    <w:rsid w:val="000F5CF5"/>
    <w:rsid w:val="00103F20"/>
    <w:rsid w:val="00105BF3"/>
    <w:rsid w:val="00120A60"/>
    <w:rsid w:val="001226CD"/>
    <w:rsid w:val="00124FA0"/>
    <w:rsid w:val="00125822"/>
    <w:rsid w:val="00125BC6"/>
    <w:rsid w:val="0013119C"/>
    <w:rsid w:val="00135E81"/>
    <w:rsid w:val="00147B66"/>
    <w:rsid w:val="001524E2"/>
    <w:rsid w:val="00156067"/>
    <w:rsid w:val="001564B0"/>
    <w:rsid w:val="00156757"/>
    <w:rsid w:val="00161440"/>
    <w:rsid w:val="00164B11"/>
    <w:rsid w:val="00167EC7"/>
    <w:rsid w:val="0018028B"/>
    <w:rsid w:val="00185C2F"/>
    <w:rsid w:val="00186C31"/>
    <w:rsid w:val="00192638"/>
    <w:rsid w:val="001970E2"/>
    <w:rsid w:val="001A2983"/>
    <w:rsid w:val="001B48E5"/>
    <w:rsid w:val="001B7A07"/>
    <w:rsid w:val="001C1FAB"/>
    <w:rsid w:val="001C379D"/>
    <w:rsid w:val="001C4D77"/>
    <w:rsid w:val="001C60FF"/>
    <w:rsid w:val="001D01D9"/>
    <w:rsid w:val="001D0B32"/>
    <w:rsid w:val="001D1A7C"/>
    <w:rsid w:val="001D5BF2"/>
    <w:rsid w:val="001D600D"/>
    <w:rsid w:val="001D643A"/>
    <w:rsid w:val="001D686C"/>
    <w:rsid w:val="001E1051"/>
    <w:rsid w:val="001E2E17"/>
    <w:rsid w:val="001E323C"/>
    <w:rsid w:val="001E3B7A"/>
    <w:rsid w:val="001E67D1"/>
    <w:rsid w:val="00200C93"/>
    <w:rsid w:val="00204151"/>
    <w:rsid w:val="002050EC"/>
    <w:rsid w:val="00206001"/>
    <w:rsid w:val="00206867"/>
    <w:rsid w:val="00215127"/>
    <w:rsid w:val="00223FD3"/>
    <w:rsid w:val="00224E3F"/>
    <w:rsid w:val="002255F7"/>
    <w:rsid w:val="00232602"/>
    <w:rsid w:val="002332C8"/>
    <w:rsid w:val="00234531"/>
    <w:rsid w:val="00243C50"/>
    <w:rsid w:val="0025395D"/>
    <w:rsid w:val="00256ABE"/>
    <w:rsid w:val="002606B4"/>
    <w:rsid w:val="00262BF8"/>
    <w:rsid w:val="00263E86"/>
    <w:rsid w:val="00265911"/>
    <w:rsid w:val="00265A2C"/>
    <w:rsid w:val="00271766"/>
    <w:rsid w:val="00272C76"/>
    <w:rsid w:val="002771B0"/>
    <w:rsid w:val="002805BC"/>
    <w:rsid w:val="002815FB"/>
    <w:rsid w:val="00286647"/>
    <w:rsid w:val="002879CD"/>
    <w:rsid w:val="00291C0B"/>
    <w:rsid w:val="002942CB"/>
    <w:rsid w:val="002A107F"/>
    <w:rsid w:val="002A1587"/>
    <w:rsid w:val="002A4B7D"/>
    <w:rsid w:val="002A5B98"/>
    <w:rsid w:val="002B082A"/>
    <w:rsid w:val="002B0C91"/>
    <w:rsid w:val="002B19EA"/>
    <w:rsid w:val="002B1BBC"/>
    <w:rsid w:val="002B22C9"/>
    <w:rsid w:val="002B4282"/>
    <w:rsid w:val="002B4932"/>
    <w:rsid w:val="002C5540"/>
    <w:rsid w:val="002C62E3"/>
    <w:rsid w:val="002D21A8"/>
    <w:rsid w:val="002D2513"/>
    <w:rsid w:val="002D4DC1"/>
    <w:rsid w:val="002D5D71"/>
    <w:rsid w:val="002E3024"/>
    <w:rsid w:val="002E59B5"/>
    <w:rsid w:val="002E5D15"/>
    <w:rsid w:val="002E6836"/>
    <w:rsid w:val="002F1E28"/>
    <w:rsid w:val="002F384C"/>
    <w:rsid w:val="0030120E"/>
    <w:rsid w:val="00302247"/>
    <w:rsid w:val="003026B6"/>
    <w:rsid w:val="003030DE"/>
    <w:rsid w:val="00305E4F"/>
    <w:rsid w:val="00307230"/>
    <w:rsid w:val="00313B4E"/>
    <w:rsid w:val="0031773E"/>
    <w:rsid w:val="003207DA"/>
    <w:rsid w:val="00320A1B"/>
    <w:rsid w:val="00327A89"/>
    <w:rsid w:val="00327C33"/>
    <w:rsid w:val="00331A50"/>
    <w:rsid w:val="003340B8"/>
    <w:rsid w:val="00335248"/>
    <w:rsid w:val="00336C86"/>
    <w:rsid w:val="00343008"/>
    <w:rsid w:val="003431C5"/>
    <w:rsid w:val="00345B23"/>
    <w:rsid w:val="00353094"/>
    <w:rsid w:val="00354E64"/>
    <w:rsid w:val="00363EC3"/>
    <w:rsid w:val="0036428D"/>
    <w:rsid w:val="0036693C"/>
    <w:rsid w:val="00370EDF"/>
    <w:rsid w:val="003718F0"/>
    <w:rsid w:val="00374E50"/>
    <w:rsid w:val="003834CD"/>
    <w:rsid w:val="00383E9D"/>
    <w:rsid w:val="00385D09"/>
    <w:rsid w:val="003869B8"/>
    <w:rsid w:val="00387080"/>
    <w:rsid w:val="0038770F"/>
    <w:rsid w:val="003A1CF4"/>
    <w:rsid w:val="003A3DD3"/>
    <w:rsid w:val="003A4F4D"/>
    <w:rsid w:val="003A696F"/>
    <w:rsid w:val="003B2367"/>
    <w:rsid w:val="003B4AD4"/>
    <w:rsid w:val="003B6ED3"/>
    <w:rsid w:val="003C1ADB"/>
    <w:rsid w:val="003C2A80"/>
    <w:rsid w:val="003C5EBA"/>
    <w:rsid w:val="003C7624"/>
    <w:rsid w:val="003D087B"/>
    <w:rsid w:val="003D0C0A"/>
    <w:rsid w:val="003D1B2D"/>
    <w:rsid w:val="003E091E"/>
    <w:rsid w:val="003E1508"/>
    <w:rsid w:val="003E2674"/>
    <w:rsid w:val="003E2FA6"/>
    <w:rsid w:val="003E6B69"/>
    <w:rsid w:val="003F1274"/>
    <w:rsid w:val="003F168B"/>
    <w:rsid w:val="003F3961"/>
    <w:rsid w:val="00404F22"/>
    <w:rsid w:val="00410ABD"/>
    <w:rsid w:val="00415BFF"/>
    <w:rsid w:val="00415F3E"/>
    <w:rsid w:val="00420522"/>
    <w:rsid w:val="004218C7"/>
    <w:rsid w:val="00422522"/>
    <w:rsid w:val="004229B6"/>
    <w:rsid w:val="004264DF"/>
    <w:rsid w:val="00430D8B"/>
    <w:rsid w:val="004310BC"/>
    <w:rsid w:val="00435F71"/>
    <w:rsid w:val="00443966"/>
    <w:rsid w:val="004439BC"/>
    <w:rsid w:val="00444FE7"/>
    <w:rsid w:val="004456D6"/>
    <w:rsid w:val="0044708E"/>
    <w:rsid w:val="00462E7E"/>
    <w:rsid w:val="00472048"/>
    <w:rsid w:val="00472772"/>
    <w:rsid w:val="00481339"/>
    <w:rsid w:val="00482E61"/>
    <w:rsid w:val="0048766C"/>
    <w:rsid w:val="00490FFE"/>
    <w:rsid w:val="004917AB"/>
    <w:rsid w:val="004A2A78"/>
    <w:rsid w:val="004A765C"/>
    <w:rsid w:val="004B18CC"/>
    <w:rsid w:val="004B5292"/>
    <w:rsid w:val="004B57F5"/>
    <w:rsid w:val="004B732E"/>
    <w:rsid w:val="004C587C"/>
    <w:rsid w:val="004C723D"/>
    <w:rsid w:val="004D01E4"/>
    <w:rsid w:val="004D24C3"/>
    <w:rsid w:val="004D49F7"/>
    <w:rsid w:val="004E0199"/>
    <w:rsid w:val="004E0B2D"/>
    <w:rsid w:val="004E1E05"/>
    <w:rsid w:val="004F4F95"/>
    <w:rsid w:val="004F50C5"/>
    <w:rsid w:val="004F6585"/>
    <w:rsid w:val="0050152B"/>
    <w:rsid w:val="0050235C"/>
    <w:rsid w:val="00503E02"/>
    <w:rsid w:val="0050402D"/>
    <w:rsid w:val="0051028A"/>
    <w:rsid w:val="00510361"/>
    <w:rsid w:val="00510743"/>
    <w:rsid w:val="00512972"/>
    <w:rsid w:val="0051366D"/>
    <w:rsid w:val="00517E13"/>
    <w:rsid w:val="005214FD"/>
    <w:rsid w:val="005217F0"/>
    <w:rsid w:val="00532AE2"/>
    <w:rsid w:val="00542FFD"/>
    <w:rsid w:val="00544409"/>
    <w:rsid w:val="005444D5"/>
    <w:rsid w:val="005450F1"/>
    <w:rsid w:val="0054692A"/>
    <w:rsid w:val="005570AE"/>
    <w:rsid w:val="005613D1"/>
    <w:rsid w:val="00571246"/>
    <w:rsid w:val="005735EE"/>
    <w:rsid w:val="005756DF"/>
    <w:rsid w:val="0057743B"/>
    <w:rsid w:val="0058161F"/>
    <w:rsid w:val="00583353"/>
    <w:rsid w:val="00590128"/>
    <w:rsid w:val="00596D8A"/>
    <w:rsid w:val="0059702F"/>
    <w:rsid w:val="005A02D3"/>
    <w:rsid w:val="005A0619"/>
    <w:rsid w:val="005A2182"/>
    <w:rsid w:val="005A6BE4"/>
    <w:rsid w:val="005B4BC2"/>
    <w:rsid w:val="005B7ED9"/>
    <w:rsid w:val="005C1A0A"/>
    <w:rsid w:val="005C7F95"/>
    <w:rsid w:val="005D11AB"/>
    <w:rsid w:val="005D1D7C"/>
    <w:rsid w:val="005D373D"/>
    <w:rsid w:val="005E0986"/>
    <w:rsid w:val="005E2AE9"/>
    <w:rsid w:val="005E3065"/>
    <w:rsid w:val="005E5548"/>
    <w:rsid w:val="005F0F5B"/>
    <w:rsid w:val="005F40A5"/>
    <w:rsid w:val="005F7351"/>
    <w:rsid w:val="005F7C12"/>
    <w:rsid w:val="006019AA"/>
    <w:rsid w:val="00601E7B"/>
    <w:rsid w:val="006025AE"/>
    <w:rsid w:val="00606D05"/>
    <w:rsid w:val="0061029F"/>
    <w:rsid w:val="00613EB4"/>
    <w:rsid w:val="00617E9A"/>
    <w:rsid w:val="0062024D"/>
    <w:rsid w:val="00620557"/>
    <w:rsid w:val="006205C3"/>
    <w:rsid w:val="0062165D"/>
    <w:rsid w:val="00621771"/>
    <w:rsid w:val="00624EF1"/>
    <w:rsid w:val="00627C7B"/>
    <w:rsid w:val="00627D25"/>
    <w:rsid w:val="006338BD"/>
    <w:rsid w:val="0064156D"/>
    <w:rsid w:val="0064378A"/>
    <w:rsid w:val="00647833"/>
    <w:rsid w:val="006572C2"/>
    <w:rsid w:val="006578DE"/>
    <w:rsid w:val="00667AA9"/>
    <w:rsid w:val="00671991"/>
    <w:rsid w:val="00677492"/>
    <w:rsid w:val="006778DE"/>
    <w:rsid w:val="00677EF3"/>
    <w:rsid w:val="006805A7"/>
    <w:rsid w:val="006879C0"/>
    <w:rsid w:val="00687EA3"/>
    <w:rsid w:val="0069164F"/>
    <w:rsid w:val="006A4807"/>
    <w:rsid w:val="006A4B8C"/>
    <w:rsid w:val="006A58EA"/>
    <w:rsid w:val="006B3C8A"/>
    <w:rsid w:val="006C3BF8"/>
    <w:rsid w:val="006C46E5"/>
    <w:rsid w:val="006C58D9"/>
    <w:rsid w:val="006C6C71"/>
    <w:rsid w:val="006C7275"/>
    <w:rsid w:val="006C7A75"/>
    <w:rsid w:val="006C7F6C"/>
    <w:rsid w:val="006D2A7C"/>
    <w:rsid w:val="006D6277"/>
    <w:rsid w:val="006D7067"/>
    <w:rsid w:val="006E1294"/>
    <w:rsid w:val="006E2B9A"/>
    <w:rsid w:val="006E39EC"/>
    <w:rsid w:val="006E41CA"/>
    <w:rsid w:val="006E5543"/>
    <w:rsid w:val="006E587C"/>
    <w:rsid w:val="006F0386"/>
    <w:rsid w:val="006F1D76"/>
    <w:rsid w:val="006F22BA"/>
    <w:rsid w:val="006F3CE0"/>
    <w:rsid w:val="006F7AC3"/>
    <w:rsid w:val="006F7B45"/>
    <w:rsid w:val="007047DA"/>
    <w:rsid w:val="0070579F"/>
    <w:rsid w:val="00705F11"/>
    <w:rsid w:val="00706BC2"/>
    <w:rsid w:val="00710F73"/>
    <w:rsid w:val="00712E21"/>
    <w:rsid w:val="007219CE"/>
    <w:rsid w:val="00722EEF"/>
    <w:rsid w:val="00725918"/>
    <w:rsid w:val="00726B31"/>
    <w:rsid w:val="00726E29"/>
    <w:rsid w:val="0072764C"/>
    <w:rsid w:val="00736B3A"/>
    <w:rsid w:val="00736CF6"/>
    <w:rsid w:val="00737D4C"/>
    <w:rsid w:val="007412A6"/>
    <w:rsid w:val="00745976"/>
    <w:rsid w:val="00745F1A"/>
    <w:rsid w:val="0075053E"/>
    <w:rsid w:val="00753AA7"/>
    <w:rsid w:val="00757A9F"/>
    <w:rsid w:val="00766678"/>
    <w:rsid w:val="00772BFC"/>
    <w:rsid w:val="007737AA"/>
    <w:rsid w:val="00774D31"/>
    <w:rsid w:val="00776D46"/>
    <w:rsid w:val="00783985"/>
    <w:rsid w:val="0078446E"/>
    <w:rsid w:val="007847D7"/>
    <w:rsid w:val="007865A3"/>
    <w:rsid w:val="00786ADB"/>
    <w:rsid w:val="00786D5E"/>
    <w:rsid w:val="00787B6E"/>
    <w:rsid w:val="00790B4A"/>
    <w:rsid w:val="00794657"/>
    <w:rsid w:val="00797957"/>
    <w:rsid w:val="007A0732"/>
    <w:rsid w:val="007A1E69"/>
    <w:rsid w:val="007A3A14"/>
    <w:rsid w:val="007A4E1F"/>
    <w:rsid w:val="007B224C"/>
    <w:rsid w:val="007B2D80"/>
    <w:rsid w:val="007B307C"/>
    <w:rsid w:val="007B3496"/>
    <w:rsid w:val="007B490E"/>
    <w:rsid w:val="007C29A1"/>
    <w:rsid w:val="007C7B0C"/>
    <w:rsid w:val="007D15F5"/>
    <w:rsid w:val="007E0B42"/>
    <w:rsid w:val="007E310E"/>
    <w:rsid w:val="007E617A"/>
    <w:rsid w:val="007E62FA"/>
    <w:rsid w:val="007E6E5A"/>
    <w:rsid w:val="007F198F"/>
    <w:rsid w:val="007F1D77"/>
    <w:rsid w:val="007F2510"/>
    <w:rsid w:val="007F3BB8"/>
    <w:rsid w:val="007F5D2F"/>
    <w:rsid w:val="00802C6E"/>
    <w:rsid w:val="0080436E"/>
    <w:rsid w:val="008046A7"/>
    <w:rsid w:val="00806682"/>
    <w:rsid w:val="0080698E"/>
    <w:rsid w:val="008073DD"/>
    <w:rsid w:val="00812F10"/>
    <w:rsid w:val="00813D7F"/>
    <w:rsid w:val="0081450C"/>
    <w:rsid w:val="00814DF7"/>
    <w:rsid w:val="008155C4"/>
    <w:rsid w:val="00823D7C"/>
    <w:rsid w:val="00824BC4"/>
    <w:rsid w:val="00826EBA"/>
    <w:rsid w:val="008278E9"/>
    <w:rsid w:val="008352CE"/>
    <w:rsid w:val="0083600F"/>
    <w:rsid w:val="00842BDE"/>
    <w:rsid w:val="00842E92"/>
    <w:rsid w:val="00843991"/>
    <w:rsid w:val="00861180"/>
    <w:rsid w:val="00864A40"/>
    <w:rsid w:val="00864E62"/>
    <w:rsid w:val="00867E31"/>
    <w:rsid w:val="00871814"/>
    <w:rsid w:val="00871C8F"/>
    <w:rsid w:val="0087333D"/>
    <w:rsid w:val="00876D28"/>
    <w:rsid w:val="00877FA5"/>
    <w:rsid w:val="00885BC0"/>
    <w:rsid w:val="00885FB6"/>
    <w:rsid w:val="00887582"/>
    <w:rsid w:val="00887798"/>
    <w:rsid w:val="008918DD"/>
    <w:rsid w:val="008956ED"/>
    <w:rsid w:val="008B0F04"/>
    <w:rsid w:val="008B5287"/>
    <w:rsid w:val="008C1C63"/>
    <w:rsid w:val="008C3661"/>
    <w:rsid w:val="008C6095"/>
    <w:rsid w:val="008C6353"/>
    <w:rsid w:val="008D0D97"/>
    <w:rsid w:val="008D41E9"/>
    <w:rsid w:val="008E2419"/>
    <w:rsid w:val="008F0A07"/>
    <w:rsid w:val="008F2F33"/>
    <w:rsid w:val="008F3B91"/>
    <w:rsid w:val="008F7331"/>
    <w:rsid w:val="009000A0"/>
    <w:rsid w:val="009020CF"/>
    <w:rsid w:val="00917542"/>
    <w:rsid w:val="0092070E"/>
    <w:rsid w:val="00920951"/>
    <w:rsid w:val="00921EBE"/>
    <w:rsid w:val="00923059"/>
    <w:rsid w:val="00931795"/>
    <w:rsid w:val="009317E3"/>
    <w:rsid w:val="00936367"/>
    <w:rsid w:val="00936B34"/>
    <w:rsid w:val="009379CB"/>
    <w:rsid w:val="0094202B"/>
    <w:rsid w:val="00944BAC"/>
    <w:rsid w:val="0094659B"/>
    <w:rsid w:val="0094660E"/>
    <w:rsid w:val="00951F4D"/>
    <w:rsid w:val="00954D0A"/>
    <w:rsid w:val="00955A74"/>
    <w:rsid w:val="00973B3E"/>
    <w:rsid w:val="009848F4"/>
    <w:rsid w:val="0098621E"/>
    <w:rsid w:val="00986AED"/>
    <w:rsid w:val="009875AD"/>
    <w:rsid w:val="00990838"/>
    <w:rsid w:val="009918CF"/>
    <w:rsid w:val="00991FE7"/>
    <w:rsid w:val="00996E0C"/>
    <w:rsid w:val="00996E3E"/>
    <w:rsid w:val="009970B9"/>
    <w:rsid w:val="009A0D4B"/>
    <w:rsid w:val="009A0F94"/>
    <w:rsid w:val="009A4D9C"/>
    <w:rsid w:val="009A59EB"/>
    <w:rsid w:val="009A5C15"/>
    <w:rsid w:val="009A6B49"/>
    <w:rsid w:val="009B009D"/>
    <w:rsid w:val="009B2F91"/>
    <w:rsid w:val="009B3E92"/>
    <w:rsid w:val="009C308A"/>
    <w:rsid w:val="009C6A56"/>
    <w:rsid w:val="009C71E7"/>
    <w:rsid w:val="009C7E1A"/>
    <w:rsid w:val="009D22C0"/>
    <w:rsid w:val="009D54C7"/>
    <w:rsid w:val="009E6E4F"/>
    <w:rsid w:val="009F0198"/>
    <w:rsid w:val="009F64FF"/>
    <w:rsid w:val="00A0025D"/>
    <w:rsid w:val="00A04963"/>
    <w:rsid w:val="00A16233"/>
    <w:rsid w:val="00A16829"/>
    <w:rsid w:val="00A17B86"/>
    <w:rsid w:val="00A17BD7"/>
    <w:rsid w:val="00A22C49"/>
    <w:rsid w:val="00A25004"/>
    <w:rsid w:val="00A2678F"/>
    <w:rsid w:val="00A32C69"/>
    <w:rsid w:val="00A33745"/>
    <w:rsid w:val="00A339BC"/>
    <w:rsid w:val="00A355A1"/>
    <w:rsid w:val="00A37410"/>
    <w:rsid w:val="00A37499"/>
    <w:rsid w:val="00A43ED0"/>
    <w:rsid w:val="00A4497A"/>
    <w:rsid w:val="00A53D6D"/>
    <w:rsid w:val="00A61653"/>
    <w:rsid w:val="00A62EEA"/>
    <w:rsid w:val="00A662D1"/>
    <w:rsid w:val="00A66B31"/>
    <w:rsid w:val="00A72CE6"/>
    <w:rsid w:val="00A81765"/>
    <w:rsid w:val="00A85456"/>
    <w:rsid w:val="00A87438"/>
    <w:rsid w:val="00A87FA9"/>
    <w:rsid w:val="00A92E72"/>
    <w:rsid w:val="00AA1787"/>
    <w:rsid w:val="00AA1EE0"/>
    <w:rsid w:val="00AA21F2"/>
    <w:rsid w:val="00AA3ED5"/>
    <w:rsid w:val="00AA5998"/>
    <w:rsid w:val="00AA76A9"/>
    <w:rsid w:val="00AA7B26"/>
    <w:rsid w:val="00AA7CB6"/>
    <w:rsid w:val="00AB1A2F"/>
    <w:rsid w:val="00AB2452"/>
    <w:rsid w:val="00AB3A1A"/>
    <w:rsid w:val="00AB3D4E"/>
    <w:rsid w:val="00AB550D"/>
    <w:rsid w:val="00AB7C72"/>
    <w:rsid w:val="00AC0074"/>
    <w:rsid w:val="00AC09FB"/>
    <w:rsid w:val="00AC3D6F"/>
    <w:rsid w:val="00AC4D51"/>
    <w:rsid w:val="00AC7F7F"/>
    <w:rsid w:val="00AD0063"/>
    <w:rsid w:val="00AE0B88"/>
    <w:rsid w:val="00AE5190"/>
    <w:rsid w:val="00AE6755"/>
    <w:rsid w:val="00AF323A"/>
    <w:rsid w:val="00AF4483"/>
    <w:rsid w:val="00AF4B88"/>
    <w:rsid w:val="00AF6AA4"/>
    <w:rsid w:val="00B017D8"/>
    <w:rsid w:val="00B01CEA"/>
    <w:rsid w:val="00B02351"/>
    <w:rsid w:val="00B04037"/>
    <w:rsid w:val="00B05D08"/>
    <w:rsid w:val="00B078E7"/>
    <w:rsid w:val="00B10349"/>
    <w:rsid w:val="00B12812"/>
    <w:rsid w:val="00B13B8F"/>
    <w:rsid w:val="00B14D8A"/>
    <w:rsid w:val="00B1567C"/>
    <w:rsid w:val="00B15C6F"/>
    <w:rsid w:val="00B16ACD"/>
    <w:rsid w:val="00B23919"/>
    <w:rsid w:val="00B25124"/>
    <w:rsid w:val="00B30609"/>
    <w:rsid w:val="00B312C6"/>
    <w:rsid w:val="00B31C05"/>
    <w:rsid w:val="00B349EB"/>
    <w:rsid w:val="00B3597A"/>
    <w:rsid w:val="00B3746B"/>
    <w:rsid w:val="00B40C6F"/>
    <w:rsid w:val="00B4129F"/>
    <w:rsid w:val="00B42FFF"/>
    <w:rsid w:val="00B44DB2"/>
    <w:rsid w:val="00B45CB0"/>
    <w:rsid w:val="00B46744"/>
    <w:rsid w:val="00B542FA"/>
    <w:rsid w:val="00B65DC8"/>
    <w:rsid w:val="00B67003"/>
    <w:rsid w:val="00B71F93"/>
    <w:rsid w:val="00B725EB"/>
    <w:rsid w:val="00B76720"/>
    <w:rsid w:val="00B81792"/>
    <w:rsid w:val="00B85430"/>
    <w:rsid w:val="00B87E76"/>
    <w:rsid w:val="00B94A82"/>
    <w:rsid w:val="00BA479D"/>
    <w:rsid w:val="00BA49D4"/>
    <w:rsid w:val="00BB19C2"/>
    <w:rsid w:val="00BB204A"/>
    <w:rsid w:val="00BB2CFA"/>
    <w:rsid w:val="00BB546A"/>
    <w:rsid w:val="00BB5578"/>
    <w:rsid w:val="00BB617B"/>
    <w:rsid w:val="00BB6C78"/>
    <w:rsid w:val="00BC1983"/>
    <w:rsid w:val="00BC3A1B"/>
    <w:rsid w:val="00BC3C7F"/>
    <w:rsid w:val="00BC4B96"/>
    <w:rsid w:val="00BC56EA"/>
    <w:rsid w:val="00BC67DD"/>
    <w:rsid w:val="00BC6EDB"/>
    <w:rsid w:val="00BC7B4C"/>
    <w:rsid w:val="00BD15C9"/>
    <w:rsid w:val="00BD1830"/>
    <w:rsid w:val="00BD1B21"/>
    <w:rsid w:val="00BE1A8F"/>
    <w:rsid w:val="00BE3D5C"/>
    <w:rsid w:val="00BF00A3"/>
    <w:rsid w:val="00C021B8"/>
    <w:rsid w:val="00C04FA3"/>
    <w:rsid w:val="00C10E7E"/>
    <w:rsid w:val="00C2498D"/>
    <w:rsid w:val="00C413DD"/>
    <w:rsid w:val="00C515F7"/>
    <w:rsid w:val="00C52AD3"/>
    <w:rsid w:val="00C5350C"/>
    <w:rsid w:val="00C53A3F"/>
    <w:rsid w:val="00C65301"/>
    <w:rsid w:val="00C66D15"/>
    <w:rsid w:val="00C67E02"/>
    <w:rsid w:val="00C71172"/>
    <w:rsid w:val="00C7536A"/>
    <w:rsid w:val="00C7640C"/>
    <w:rsid w:val="00C76C30"/>
    <w:rsid w:val="00C80999"/>
    <w:rsid w:val="00C81CAD"/>
    <w:rsid w:val="00C82877"/>
    <w:rsid w:val="00C86359"/>
    <w:rsid w:val="00C86982"/>
    <w:rsid w:val="00C90FD4"/>
    <w:rsid w:val="00C9125A"/>
    <w:rsid w:val="00C927D4"/>
    <w:rsid w:val="00C946E1"/>
    <w:rsid w:val="00CA3066"/>
    <w:rsid w:val="00CA3ECB"/>
    <w:rsid w:val="00CA72F6"/>
    <w:rsid w:val="00CB15EE"/>
    <w:rsid w:val="00CB4530"/>
    <w:rsid w:val="00CB6073"/>
    <w:rsid w:val="00CC220A"/>
    <w:rsid w:val="00CC49FC"/>
    <w:rsid w:val="00CC6BBB"/>
    <w:rsid w:val="00CC7A68"/>
    <w:rsid w:val="00CD63D3"/>
    <w:rsid w:val="00CD7E58"/>
    <w:rsid w:val="00CE2654"/>
    <w:rsid w:val="00CE2AEA"/>
    <w:rsid w:val="00CE5F15"/>
    <w:rsid w:val="00CE7405"/>
    <w:rsid w:val="00CF1D8F"/>
    <w:rsid w:val="00CF1E49"/>
    <w:rsid w:val="00CF3BA6"/>
    <w:rsid w:val="00CF5088"/>
    <w:rsid w:val="00CF5CA8"/>
    <w:rsid w:val="00CF5FC7"/>
    <w:rsid w:val="00D045E4"/>
    <w:rsid w:val="00D10B5C"/>
    <w:rsid w:val="00D11E64"/>
    <w:rsid w:val="00D12065"/>
    <w:rsid w:val="00D1565E"/>
    <w:rsid w:val="00D15DC1"/>
    <w:rsid w:val="00D179EB"/>
    <w:rsid w:val="00D22D68"/>
    <w:rsid w:val="00D22DB0"/>
    <w:rsid w:val="00D23A05"/>
    <w:rsid w:val="00D25F6C"/>
    <w:rsid w:val="00D35343"/>
    <w:rsid w:val="00D35C15"/>
    <w:rsid w:val="00D3742B"/>
    <w:rsid w:val="00D400A5"/>
    <w:rsid w:val="00D42B17"/>
    <w:rsid w:val="00D42DB7"/>
    <w:rsid w:val="00D459B6"/>
    <w:rsid w:val="00D45A79"/>
    <w:rsid w:val="00D50D4D"/>
    <w:rsid w:val="00D54471"/>
    <w:rsid w:val="00D6091E"/>
    <w:rsid w:val="00D64251"/>
    <w:rsid w:val="00D67253"/>
    <w:rsid w:val="00D73F0F"/>
    <w:rsid w:val="00D73F94"/>
    <w:rsid w:val="00D7417D"/>
    <w:rsid w:val="00D741C8"/>
    <w:rsid w:val="00D75AC1"/>
    <w:rsid w:val="00D7727C"/>
    <w:rsid w:val="00D77711"/>
    <w:rsid w:val="00D80C19"/>
    <w:rsid w:val="00D8240B"/>
    <w:rsid w:val="00D837E5"/>
    <w:rsid w:val="00D85F48"/>
    <w:rsid w:val="00D90DAB"/>
    <w:rsid w:val="00D935D9"/>
    <w:rsid w:val="00D9667F"/>
    <w:rsid w:val="00DA13C0"/>
    <w:rsid w:val="00DA362C"/>
    <w:rsid w:val="00DA4E9E"/>
    <w:rsid w:val="00DA78B8"/>
    <w:rsid w:val="00DC4F15"/>
    <w:rsid w:val="00DC52ED"/>
    <w:rsid w:val="00DC63F2"/>
    <w:rsid w:val="00DD067F"/>
    <w:rsid w:val="00DD2CE2"/>
    <w:rsid w:val="00DD4A85"/>
    <w:rsid w:val="00DD5ABF"/>
    <w:rsid w:val="00DD63CC"/>
    <w:rsid w:val="00DD6AC2"/>
    <w:rsid w:val="00DE0883"/>
    <w:rsid w:val="00DE0928"/>
    <w:rsid w:val="00DE0ECC"/>
    <w:rsid w:val="00DE1CD2"/>
    <w:rsid w:val="00DE75C9"/>
    <w:rsid w:val="00DF2BC2"/>
    <w:rsid w:val="00DF6C11"/>
    <w:rsid w:val="00E024AA"/>
    <w:rsid w:val="00E045D1"/>
    <w:rsid w:val="00E07840"/>
    <w:rsid w:val="00E1278D"/>
    <w:rsid w:val="00E157A6"/>
    <w:rsid w:val="00E214CB"/>
    <w:rsid w:val="00E25481"/>
    <w:rsid w:val="00E3526B"/>
    <w:rsid w:val="00E3575D"/>
    <w:rsid w:val="00E37EFB"/>
    <w:rsid w:val="00E4055F"/>
    <w:rsid w:val="00E41C0C"/>
    <w:rsid w:val="00E442D0"/>
    <w:rsid w:val="00E450C3"/>
    <w:rsid w:val="00E51E77"/>
    <w:rsid w:val="00E52B0C"/>
    <w:rsid w:val="00E52B27"/>
    <w:rsid w:val="00E532A3"/>
    <w:rsid w:val="00E55EEF"/>
    <w:rsid w:val="00E603A6"/>
    <w:rsid w:val="00E60641"/>
    <w:rsid w:val="00E77F20"/>
    <w:rsid w:val="00E81E62"/>
    <w:rsid w:val="00E86567"/>
    <w:rsid w:val="00E92812"/>
    <w:rsid w:val="00E95F60"/>
    <w:rsid w:val="00EA0A69"/>
    <w:rsid w:val="00EA2569"/>
    <w:rsid w:val="00EA39B2"/>
    <w:rsid w:val="00EA4388"/>
    <w:rsid w:val="00EB6785"/>
    <w:rsid w:val="00EC2897"/>
    <w:rsid w:val="00EC32E0"/>
    <w:rsid w:val="00EC4D0E"/>
    <w:rsid w:val="00EC51E9"/>
    <w:rsid w:val="00EC5FE7"/>
    <w:rsid w:val="00EE0553"/>
    <w:rsid w:val="00EE1209"/>
    <w:rsid w:val="00EE24AA"/>
    <w:rsid w:val="00EE2B62"/>
    <w:rsid w:val="00EE33DC"/>
    <w:rsid w:val="00EE41EA"/>
    <w:rsid w:val="00EE745B"/>
    <w:rsid w:val="00EF018B"/>
    <w:rsid w:val="00EF050F"/>
    <w:rsid w:val="00EF1790"/>
    <w:rsid w:val="00EF5E2C"/>
    <w:rsid w:val="00F0332C"/>
    <w:rsid w:val="00F057D8"/>
    <w:rsid w:val="00F10C4B"/>
    <w:rsid w:val="00F12872"/>
    <w:rsid w:val="00F17D73"/>
    <w:rsid w:val="00F20396"/>
    <w:rsid w:val="00F20B2B"/>
    <w:rsid w:val="00F23CE9"/>
    <w:rsid w:val="00F25725"/>
    <w:rsid w:val="00F26C8E"/>
    <w:rsid w:val="00F302D9"/>
    <w:rsid w:val="00F341CF"/>
    <w:rsid w:val="00F3505A"/>
    <w:rsid w:val="00F3627B"/>
    <w:rsid w:val="00F372DF"/>
    <w:rsid w:val="00F428CE"/>
    <w:rsid w:val="00F475AE"/>
    <w:rsid w:val="00F47E1B"/>
    <w:rsid w:val="00F5029E"/>
    <w:rsid w:val="00F604D6"/>
    <w:rsid w:val="00F60D9C"/>
    <w:rsid w:val="00F6353D"/>
    <w:rsid w:val="00F644C3"/>
    <w:rsid w:val="00F66684"/>
    <w:rsid w:val="00F70E70"/>
    <w:rsid w:val="00F713EB"/>
    <w:rsid w:val="00F718B6"/>
    <w:rsid w:val="00F72C25"/>
    <w:rsid w:val="00F766A1"/>
    <w:rsid w:val="00F82504"/>
    <w:rsid w:val="00F827EA"/>
    <w:rsid w:val="00F90019"/>
    <w:rsid w:val="00F90FBC"/>
    <w:rsid w:val="00F910BF"/>
    <w:rsid w:val="00F91F2E"/>
    <w:rsid w:val="00F92C5C"/>
    <w:rsid w:val="00F9321C"/>
    <w:rsid w:val="00FA0B30"/>
    <w:rsid w:val="00FA5FCB"/>
    <w:rsid w:val="00FB473B"/>
    <w:rsid w:val="00FB79E4"/>
    <w:rsid w:val="00FB7C9C"/>
    <w:rsid w:val="00FC75EB"/>
    <w:rsid w:val="00FD0CAC"/>
    <w:rsid w:val="00FD3431"/>
    <w:rsid w:val="00FD67E4"/>
    <w:rsid w:val="00FE0DE0"/>
    <w:rsid w:val="00FE1CDB"/>
    <w:rsid w:val="00FE40AE"/>
    <w:rsid w:val="00FE78EF"/>
    <w:rsid w:val="00FF0067"/>
    <w:rsid w:val="00FF2098"/>
    <w:rsid w:val="00FF3736"/>
    <w:rsid w:val="00FF3DC4"/>
    <w:rsid w:val="00FF58C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a0000,#1d4f5d,#235f6f"/>
    </o:shapedefaults>
    <o:shapelayout v:ext="edit">
      <o:idmap v:ext="edit" data="1"/>
    </o:shapelayout>
  </w:shapeDefaults>
  <w:decimalSymbol w:val="."/>
  <w:listSeparator w:val=","/>
  <w14:docId w14:val="7D357734"/>
  <w15:chartTrackingRefBased/>
  <w15:docId w15:val="{18E4E2CC-A67C-418B-A6A8-46934F1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8A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726B31"/>
    <w:pPr>
      <w:spacing w:before="240"/>
      <w:outlineLvl w:val="0"/>
    </w:pPr>
    <w:rPr>
      <w:rFonts w:eastAsia="Times New Roman"/>
      <w:b/>
      <w:bCs/>
      <w:color w:val="006B6E"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726B31"/>
    <w:pPr>
      <w:keepNext/>
      <w:keepLines/>
      <w:spacing w:before="360"/>
      <w:outlineLvl w:val="1"/>
    </w:pPr>
    <w:rPr>
      <w:rFonts w:eastAsia="MS Gothic"/>
      <w:b/>
      <w:bCs/>
      <w:color w:val="006B6E"/>
      <w:sz w:val="28"/>
      <w:szCs w:val="26"/>
    </w:rPr>
  </w:style>
  <w:style w:type="paragraph" w:styleId="Heading3">
    <w:name w:val="heading 3"/>
    <w:basedOn w:val="Normal"/>
    <w:link w:val="Heading3Char"/>
    <w:qFormat/>
    <w:rsid w:val="005774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21B8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91"/>
  </w:style>
  <w:style w:type="paragraph" w:styleId="Footer">
    <w:name w:val="footer"/>
    <w:basedOn w:val="Normal"/>
    <w:link w:val="FooterChar"/>
    <w:uiPriority w:val="99"/>
    <w:unhideWhenUsed/>
    <w:rsid w:val="00671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91"/>
  </w:style>
  <w:style w:type="paragraph" w:styleId="BalloonText">
    <w:name w:val="Balloon Text"/>
    <w:basedOn w:val="Normal"/>
    <w:link w:val="BalloonTextChar"/>
    <w:uiPriority w:val="99"/>
    <w:semiHidden/>
    <w:unhideWhenUsed/>
    <w:rsid w:val="006719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991"/>
    <w:rPr>
      <w:rFonts w:ascii="Lucida Grande" w:hAnsi="Lucida Grande"/>
      <w:sz w:val="18"/>
      <w:szCs w:val="18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A2569"/>
    <w:pPr>
      <w:ind w:left="720"/>
    </w:pPr>
  </w:style>
  <w:style w:type="character" w:styleId="Hyperlink">
    <w:name w:val="Hyperlink"/>
    <w:uiPriority w:val="99"/>
    <w:unhideWhenUsed/>
    <w:rsid w:val="00B14D8A"/>
    <w:rPr>
      <w:color w:val="006B6E"/>
      <w:u w:val="single"/>
    </w:rPr>
  </w:style>
  <w:style w:type="character" w:styleId="CommentReference">
    <w:name w:val="annotation reference"/>
    <w:uiPriority w:val="99"/>
    <w:semiHidden/>
    <w:unhideWhenUsed/>
    <w:rsid w:val="00D45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9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59B6"/>
    <w:rPr>
      <w:sz w:val="20"/>
      <w:szCs w:val="20"/>
    </w:rPr>
  </w:style>
  <w:style w:type="paragraph" w:customStyle="1" w:styleId="RegionalOffices">
    <w:name w:val="Regional Offices"/>
    <w:basedOn w:val="Normal"/>
    <w:uiPriority w:val="99"/>
    <w:rsid w:val="007F1D77"/>
    <w:pPr>
      <w:widowControl w:val="0"/>
      <w:tabs>
        <w:tab w:val="left" w:pos="2160"/>
      </w:tabs>
      <w:suppressAutoHyphens/>
      <w:autoSpaceDE w:val="0"/>
      <w:autoSpaceDN w:val="0"/>
      <w:adjustRightInd w:val="0"/>
      <w:spacing w:line="200" w:lineRule="atLeast"/>
      <w:textAlignment w:val="baseline"/>
    </w:pPr>
    <w:rPr>
      <w:rFonts w:ascii="Roboto-Regular" w:hAnsi="Roboto-Regular" w:cs="Roboto-Regular"/>
      <w:color w:val="000000"/>
      <w:sz w:val="16"/>
      <w:szCs w:val="16"/>
      <w:lang w:val="en-GB"/>
    </w:rPr>
  </w:style>
  <w:style w:type="character" w:customStyle="1" w:styleId="Heading1Char">
    <w:name w:val="Heading 1 Char"/>
    <w:link w:val="Heading1"/>
    <w:rsid w:val="00726B31"/>
    <w:rPr>
      <w:rFonts w:ascii="Arial" w:eastAsia="Times New Roman" w:hAnsi="Arial"/>
      <w:b/>
      <w:bCs/>
      <w:color w:val="006B6E"/>
      <w:kern w:val="36"/>
      <w:sz w:val="48"/>
      <w:szCs w:val="48"/>
    </w:rPr>
  </w:style>
  <w:style w:type="character" w:customStyle="1" w:styleId="Heading3Char">
    <w:name w:val="Heading 3 Char"/>
    <w:link w:val="Heading3"/>
    <w:rsid w:val="0057743B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unhideWhenUsed/>
    <w:rsid w:val="0057743B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Strong">
    <w:name w:val="Strong"/>
    <w:uiPriority w:val="22"/>
    <w:qFormat/>
    <w:rsid w:val="0057743B"/>
    <w:rPr>
      <w:b/>
      <w:bCs/>
    </w:rPr>
  </w:style>
  <w:style w:type="character" w:styleId="Emphasis">
    <w:name w:val="Emphasis"/>
    <w:uiPriority w:val="20"/>
    <w:qFormat/>
    <w:rsid w:val="0057743B"/>
    <w:rPr>
      <w:i/>
      <w:iCs/>
    </w:rPr>
  </w:style>
  <w:style w:type="character" w:customStyle="1" w:styleId="Heading2Char">
    <w:name w:val="Heading 2 Char"/>
    <w:link w:val="Heading2"/>
    <w:rsid w:val="00726B31"/>
    <w:rPr>
      <w:rFonts w:ascii="Arial" w:eastAsia="MS Gothic" w:hAnsi="Arial"/>
      <w:b/>
      <w:bCs/>
      <w:color w:val="006B6E"/>
      <w:sz w:val="28"/>
      <w:szCs w:val="26"/>
      <w:lang w:val="en-US" w:eastAsia="en-US"/>
    </w:rPr>
  </w:style>
  <w:style w:type="paragraph" w:customStyle="1" w:styleId="Default">
    <w:name w:val="Default"/>
    <w:link w:val="DefaultChar"/>
    <w:rsid w:val="00BC6ED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C021B8"/>
    <w:rPr>
      <w:rFonts w:eastAsia="Times New Roman"/>
      <w:b/>
      <w:bCs/>
      <w:i/>
      <w:iCs/>
      <w:color w:val="4F81BD"/>
      <w:sz w:val="24"/>
      <w:szCs w:val="24"/>
    </w:rPr>
  </w:style>
  <w:style w:type="character" w:customStyle="1" w:styleId="DefaultChar">
    <w:name w:val="Default Char"/>
    <w:link w:val="Default"/>
    <w:locked/>
    <w:rsid w:val="00C021B8"/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styleId="PageNumber">
    <w:name w:val="page number"/>
    <w:rsid w:val="00C021B8"/>
  </w:style>
  <w:style w:type="table" w:styleId="TableGrid">
    <w:name w:val="Table Grid"/>
    <w:basedOn w:val="TableNormal"/>
    <w:rsid w:val="00C021B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C021B8"/>
    <w:rPr>
      <w:rFonts w:ascii="Times New Roman" w:eastAsia="Times New Roman" w:hAnsi="Times New Roman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C021B8"/>
    <w:rPr>
      <w:rFonts w:ascii="Times New Roman" w:eastAsia="Times New Roman" w:hAnsi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021B8"/>
    <w:pPr>
      <w:spacing w:after="200" w:line="276" w:lineRule="auto"/>
    </w:pPr>
    <w:rPr>
      <w:rFonts w:ascii="Calibri" w:eastAsia="Times New Roman" w:hAnsi="Calibri"/>
      <w:i/>
      <w:iCs/>
      <w:color w:val="000000"/>
      <w:szCs w:val="22"/>
      <w:lang w:eastAsia="ja-JP"/>
    </w:rPr>
  </w:style>
  <w:style w:type="character" w:customStyle="1" w:styleId="QuoteChar">
    <w:name w:val="Quote Char"/>
    <w:link w:val="Quote"/>
    <w:uiPriority w:val="29"/>
    <w:rsid w:val="00C021B8"/>
    <w:rPr>
      <w:rFonts w:ascii="Calibri" w:eastAsia="Times New Roman" w:hAnsi="Calibri"/>
      <w:i/>
      <w:iCs/>
      <w:color w:val="000000"/>
      <w:sz w:val="22"/>
      <w:szCs w:val="22"/>
      <w:lang w:val="en-US" w:eastAsia="ja-JP"/>
    </w:rPr>
  </w:style>
  <w:style w:type="paragraph" w:customStyle="1" w:styleId="Tabletext">
    <w:name w:val="Table text"/>
    <w:basedOn w:val="Normal"/>
    <w:qFormat/>
    <w:rsid w:val="00EA2569"/>
    <w:pPr>
      <w:spacing w:before="60" w:after="60"/>
    </w:pPr>
  </w:style>
  <w:style w:type="table" w:customStyle="1" w:styleId="TableGrid1">
    <w:name w:val="Table Grid1"/>
    <w:basedOn w:val="TableNormal"/>
    <w:next w:val="TableGrid"/>
    <w:rsid w:val="00C021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021B8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28A"/>
    <w:pPr>
      <w:tabs>
        <w:tab w:val="right" w:leader="dot" w:pos="8290"/>
      </w:tabs>
      <w:spacing w:before="24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0C0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D0C0A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D0C0A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D0C0A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D0C0A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D0C0A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D0C0A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D0C0A"/>
    <w:pPr>
      <w:ind w:left="1920"/>
    </w:pPr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A8F"/>
    <w:rPr>
      <w:b/>
      <w:bCs/>
      <w:sz w:val="20"/>
      <w:szCs w:val="20"/>
      <w:lang w:val="en-US" w:eastAsia="en-US"/>
    </w:rPr>
  </w:style>
  <w:style w:type="paragraph" w:styleId="Title">
    <w:name w:val="Title"/>
    <w:basedOn w:val="Normal"/>
    <w:next w:val="Heading1"/>
    <w:link w:val="TitleChar"/>
    <w:uiPriority w:val="1"/>
    <w:qFormat/>
    <w:rsid w:val="001D1A7C"/>
    <w:pPr>
      <w:tabs>
        <w:tab w:val="left" w:pos="425"/>
      </w:tabs>
      <w:spacing w:after="360"/>
    </w:pPr>
    <w:rPr>
      <w:rFonts w:eastAsia="Calibri"/>
      <w:color w:val="C10A27"/>
      <w:sz w:val="56"/>
    </w:rPr>
  </w:style>
  <w:style w:type="character" w:customStyle="1" w:styleId="TitleChar">
    <w:name w:val="Title Char"/>
    <w:link w:val="Title"/>
    <w:uiPriority w:val="1"/>
    <w:rsid w:val="001D1A7C"/>
    <w:rPr>
      <w:rFonts w:ascii="Arial" w:eastAsia="Calibri" w:hAnsi="Arial"/>
      <w:color w:val="C10A27"/>
      <w:sz w:val="56"/>
      <w:szCs w:val="24"/>
      <w:lang w:eastAsia="en-US"/>
    </w:rPr>
  </w:style>
  <w:style w:type="character" w:customStyle="1" w:styleId="ListParagraphChar">
    <w:name w:val="List Paragraph Char"/>
    <w:aliases w:val="Bullet Char"/>
    <w:link w:val="ListParagraph"/>
    <w:uiPriority w:val="34"/>
    <w:rsid w:val="00EA2569"/>
    <w:rPr>
      <w:rFonts w:ascii="Arial" w:hAnsi="Arial"/>
      <w:sz w:val="22"/>
      <w:szCs w:val="24"/>
      <w:lang w:val="en-US" w:eastAsia="en-US"/>
    </w:rPr>
  </w:style>
  <w:style w:type="paragraph" w:customStyle="1" w:styleId="CaptionTableheading">
    <w:name w:val="Caption_Table heading"/>
    <w:basedOn w:val="Normal"/>
    <w:next w:val="BodyText"/>
    <w:rsid w:val="004F6585"/>
    <w:pPr>
      <w:keepNext/>
      <w:keepLines/>
      <w:spacing w:before="240" w:after="240"/>
      <w:jc w:val="center"/>
    </w:pPr>
    <w:rPr>
      <w:rFonts w:ascii="Calibri" w:eastAsia="Times New Roman" w:hAnsi="Calibri"/>
      <w:b/>
      <w:color w:val="93163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6585"/>
  </w:style>
  <w:style w:type="character" w:customStyle="1" w:styleId="BodyTextChar">
    <w:name w:val="Body Text Char"/>
    <w:link w:val="BodyText"/>
    <w:uiPriority w:val="99"/>
    <w:semiHidden/>
    <w:rsid w:val="004F65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226">
              <w:marLeft w:val="0"/>
              <w:marRight w:val="0"/>
              <w:marTop w:val="0"/>
              <w:marBottom w:val="450"/>
              <w:divBdr>
                <w:top w:val="single" w:sz="6" w:space="17" w:color="D8C09E"/>
                <w:left w:val="single" w:sz="6" w:space="17" w:color="D8C09E"/>
                <w:bottom w:val="single" w:sz="6" w:space="17" w:color="D8C09E"/>
                <w:right w:val="single" w:sz="6" w:space="17" w:color="D8C09E"/>
              </w:divBdr>
            </w:div>
          </w:divsChild>
        </w:div>
        <w:div w:id="1180240578">
          <w:marLeft w:val="0"/>
          <w:marRight w:val="0"/>
          <w:marTop w:val="0"/>
          <w:marBottom w:val="375"/>
          <w:divBdr>
            <w:top w:val="dotted" w:sz="6" w:space="8" w:color="C5C5C5"/>
            <w:left w:val="none" w:sz="0" w:space="0" w:color="auto"/>
            <w:bottom w:val="dotted" w:sz="6" w:space="8" w:color="C5C5C5"/>
            <w:right w:val="none" w:sz="0" w:space="0" w:color="auto"/>
          </w:divBdr>
          <w:divsChild>
            <w:div w:id="955333261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mmerce.wa.gov.au/building-and-energy/signag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ommerce.wa.gov.au/publications/code-practice-managing-risks-plant-work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erce.wa.gov.au/publications/code-practice-demolition-wor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ommerce.wa.gov.au/publications/code-practice-construction-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mmerce.wa.gov.au/building-and-energy/signa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A50254450</value>
    </field>
    <field name="Objective-Title">
      <value order="0">Construction security checklist</value>
    </field>
    <field name="Objective-Description">
      <value order="0"/>
    </field>
    <field name="Objective-CreationStamp">
      <value order="0">2023-01-31T08:07:29Z</value>
    </field>
    <field name="Objective-IsApproved">
      <value order="0">false</value>
    </field>
    <field name="Objective-IsPublished">
      <value order="0">true</value>
    </field>
    <field name="Objective-DatePublished">
      <value order="0">2023-05-09T06:47:17Z</value>
    </field>
    <field name="Objective-ModificationStamp">
      <value order="0">2023-05-09T06:48:10Z</value>
    </field>
    <field name="Objective-Owner">
      <value order="0">ABBOTT, Judy</value>
    </field>
    <field name="Objective-Path">
      <value order="0">DMIRS Global Folder:02 Corporate File Plan:WorkSafe Group:Regulatory Support:Information and Stakeholder Engagement:Publication Management:Production:Health and Safety Checklists:Construction site security</value>
    </field>
    <field name="Objective-Parent">
      <value order="0">Construction site security</value>
    </field>
    <field name="Objective-State">
      <value order="0">Published</value>
    </field>
    <field name="Objective-VersionId">
      <value order="0">vA57195619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DMS0698/2022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D5F5CC97-792B-49C5-8EB3-34BDE1C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5120</Characters>
  <Application>Microsoft Office Word</Application>
  <DocSecurity>0</DocSecurity>
  <Lines>170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Larmer</dc:creator>
  <cp:keywords/>
  <cp:lastModifiedBy>COLE, Alicia</cp:lastModifiedBy>
  <cp:revision>2</cp:revision>
  <cp:lastPrinted>2022-11-22T06:38:00Z</cp:lastPrinted>
  <dcterms:created xsi:type="dcterms:W3CDTF">2023-05-10T00:17:00Z</dcterms:created>
  <dcterms:modified xsi:type="dcterms:W3CDTF">2023-05-10T00:17:00Z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A50254450</vt:lpwstr>
  </property>
  <property fmtid="{D5CDD505-2E9C-101B-9397-08002B2CF9AE}" pid="4" name="Objective-Title">
    <vt:lpwstr>Construction security checklist</vt:lpwstr>
  </property>
  <property fmtid="{D5CDD505-2E9C-101B-9397-08002B2CF9AE}" pid="5" name="Objective-Comment">
    <vt:lpwstr/>
  </property>
  <property fmtid="{D5CDD505-2E9C-101B-9397-08002B2CF9AE}" pid="6" name="Objective-CreationStamp">
    <vt:filetime>2023-01-31T08:07:29Z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2023-05-09T06:47:17Z</vt:filetime>
  </property>
  <property fmtid="{D5CDD505-2E9C-101B-9397-08002B2CF9AE}" pid="10" name="Objective-ModificationStamp">
    <vt:filetime>2023-05-09T06:48:10Z</vt:filetime>
  </property>
  <property fmtid="{D5CDD505-2E9C-101B-9397-08002B2CF9AE}" pid="11" name="Objective-Owner">
    <vt:lpwstr>ABBOTT, Judy</vt:lpwstr>
  </property>
  <property fmtid="{D5CDD505-2E9C-101B-9397-08002B2CF9AE}" pid="12" name="Objective-Path">
    <vt:lpwstr>DMIRS Global Folder:02 Corporate File Plan:WorkSafe Group:Regulatory Support:Information and Stakeholder Engagement:Publication Management:Production:Health and Safety Checklists:Construction site security</vt:lpwstr>
  </property>
  <property fmtid="{D5CDD505-2E9C-101B-9397-08002B2CF9AE}" pid="13" name="Objective-Parent">
    <vt:lpwstr>Construction site security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DMS0698/2022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Divisional Document Types [system]">
    <vt:lpwstr/>
  </property>
  <property fmtid="{D5CDD505-2E9C-101B-9397-08002B2CF9AE}" pid="22" name="Objective-Author [system]">
    <vt:lpwstr/>
  </property>
  <property fmtid="{D5CDD505-2E9C-101B-9397-08002B2CF9AE}" pid="23" name="Objective-Date of Document [system]">
    <vt:lpwstr/>
  </property>
  <property fmtid="{D5CDD505-2E9C-101B-9397-08002B2CF9AE}" pid="24" name="Objective-External Reference [system]">
    <vt:lpwstr/>
  </property>
  <property fmtid="{D5CDD505-2E9C-101B-9397-08002B2CF9AE}" pid="25" name="Objective-Archive Box [system]">
    <vt:lpwstr/>
  </property>
  <property fmtid="{D5CDD505-2E9C-101B-9397-08002B2CF9AE}" pid="26" name="Objective-TRIM Record Number [system]">
    <vt:lpwstr/>
  </property>
  <property fmtid="{D5CDD505-2E9C-101B-9397-08002B2CF9AE}" pid="27" name="Objective-Foreign Barcode [system]">
    <vt:lpwstr/>
  </property>
  <property fmtid="{D5CDD505-2E9C-101B-9397-08002B2CF9AE}" pid="28" name="Objective-Document Worksafe Types [system]">
    <vt:lpwstr>Other</vt:lpwstr>
  </property>
  <property fmtid="{D5CDD505-2E9C-101B-9397-08002B2CF9AE}" pid="29" name="Objective-End User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vA57195619</vt:lpwstr>
  </property>
  <property fmtid="{D5CDD505-2E9C-101B-9397-08002B2CF9AE}" pid="32" name="Objective-External Reference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Date of Document">
    <vt:lpwstr/>
  </property>
  <property fmtid="{D5CDD505-2E9C-101B-9397-08002B2CF9AE}" pid="36" name="Objective-Author">
    <vt:lpwstr/>
  </property>
  <property fmtid="{D5CDD505-2E9C-101B-9397-08002B2CF9AE}" pid="37" name="Objective-Archive Box">
    <vt:lpwstr/>
  </property>
  <property fmtid="{D5CDD505-2E9C-101B-9397-08002B2CF9AE}" pid="38" name="Objective-Divisional Document Types">
    <vt:lpwstr/>
  </property>
  <property fmtid="{D5CDD505-2E9C-101B-9397-08002B2CF9AE}" pid="39" name="Objective-PCI DSS Checked">
    <vt:lpwstr/>
  </property>
  <property fmtid="{D5CDD505-2E9C-101B-9397-08002B2CF9AE}" pid="40" name="Objective-Migrated Id">
    <vt:lpwstr/>
  </property>
  <property fmtid="{D5CDD505-2E9C-101B-9397-08002B2CF9AE}" pid="41" name="Objective-End User">
    <vt:lpwstr/>
  </property>
  <property fmtid="{D5CDD505-2E9C-101B-9397-08002B2CF9AE}" pid="42" name="Objective-Document Worksafe Types">
    <vt:lpwstr/>
  </property>
</Properties>
</file>