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CA" w:rsidRDefault="00A071CA" w:rsidP="00A071CA">
      <w:pPr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noProof/>
          <w:color w:val="0070C0"/>
          <w:sz w:val="28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-662305</wp:posOffset>
            </wp:positionV>
            <wp:extent cx="427228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_DMIRS_ BW_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10" w:rsidRPr="00A071CA" w:rsidRDefault="00352210" w:rsidP="00A071CA">
      <w:pPr>
        <w:rPr>
          <w:rFonts w:ascii="Arial" w:hAnsi="Arial" w:cs="Arial"/>
          <w:b/>
          <w:color w:val="0070C0"/>
          <w:sz w:val="28"/>
          <w:szCs w:val="32"/>
        </w:rPr>
      </w:pPr>
      <w:r w:rsidRPr="00A071CA">
        <w:rPr>
          <w:rFonts w:ascii="Arial" w:hAnsi="Arial" w:cs="Arial"/>
          <w:b/>
          <w:color w:val="0070C0"/>
          <w:sz w:val="28"/>
          <w:szCs w:val="32"/>
        </w:rPr>
        <w:t>Building Services (Complaint Resolution and Administration) Regulations 2011 – Regulation 18(3)</w:t>
      </w:r>
      <w:r w:rsidR="00B518FE" w:rsidRPr="00A071CA">
        <w:rPr>
          <w:rFonts w:ascii="Arial" w:hAnsi="Arial" w:cs="Arial"/>
          <w:b/>
          <w:color w:val="0070C0"/>
          <w:sz w:val="28"/>
          <w:szCs w:val="32"/>
        </w:rPr>
        <w:t xml:space="preserve"> – Refunds of Building Services Levy</w:t>
      </w:r>
    </w:p>
    <w:p w:rsidR="00352210" w:rsidRPr="00A071CA" w:rsidRDefault="00A071CA" w:rsidP="00A071CA">
      <w:pPr>
        <w:spacing w:after="24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‘Exceptional circumstances’ – definition and qualifying f</w:t>
      </w:r>
      <w:r w:rsidR="00352210" w:rsidRPr="00A071CA">
        <w:rPr>
          <w:rFonts w:ascii="Arial" w:hAnsi="Arial" w:cs="Arial"/>
          <w:b/>
          <w:sz w:val="28"/>
          <w:szCs w:val="32"/>
        </w:rPr>
        <w:t>ramework</w:t>
      </w:r>
    </w:p>
    <w:p w:rsidR="008438EF" w:rsidRPr="00A071CA" w:rsidRDefault="008438EF" w:rsidP="00A071CA">
      <w:pPr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</w:pPr>
      <w:r w:rsidRPr="00A071CA"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Background</w:t>
      </w:r>
      <w:bookmarkStart w:id="0" w:name="_GoBack"/>
      <w:bookmarkEnd w:id="0"/>
    </w:p>
    <w:p w:rsidR="00560E8F" w:rsidRPr="00A071CA" w:rsidRDefault="008438EF" w:rsidP="00A071CA">
      <w:pPr>
        <w:rPr>
          <w:rFonts w:ascii="Arial" w:hAnsi="Arial" w:cs="Arial"/>
          <w:shd w:val="clear" w:color="auto" w:fill="FFFFFF"/>
        </w:rPr>
      </w:pPr>
      <w:r w:rsidRPr="00A071CA">
        <w:rPr>
          <w:rFonts w:ascii="Arial" w:hAnsi="Arial" w:cs="Arial"/>
          <w:shd w:val="clear" w:color="auto" w:fill="FFFFFF"/>
        </w:rPr>
        <w:t xml:space="preserve">This framework document has been devised to set out </w:t>
      </w:r>
      <w:r w:rsidR="007F38AA" w:rsidRPr="00A071CA">
        <w:rPr>
          <w:rFonts w:ascii="Arial" w:hAnsi="Arial" w:cs="Arial"/>
          <w:shd w:val="clear" w:color="auto" w:fill="FFFFFF"/>
        </w:rPr>
        <w:t xml:space="preserve">what might be considered </w:t>
      </w:r>
      <w:r w:rsidRPr="00A071CA">
        <w:rPr>
          <w:rFonts w:ascii="Arial" w:hAnsi="Arial" w:cs="Arial"/>
          <w:shd w:val="clear" w:color="auto" w:fill="FFFFFF"/>
        </w:rPr>
        <w:t>‘exceptional circumstance</w:t>
      </w:r>
      <w:r w:rsidR="00560E8F" w:rsidRPr="00A071CA">
        <w:rPr>
          <w:rFonts w:ascii="Arial" w:hAnsi="Arial" w:cs="Arial"/>
          <w:shd w:val="clear" w:color="auto" w:fill="FFFFFF"/>
        </w:rPr>
        <w:t>s</w:t>
      </w:r>
      <w:r w:rsidRPr="00A071CA">
        <w:rPr>
          <w:rFonts w:ascii="Arial" w:hAnsi="Arial" w:cs="Arial"/>
          <w:shd w:val="clear" w:color="auto" w:fill="FFFFFF"/>
        </w:rPr>
        <w:t>’</w:t>
      </w:r>
      <w:r w:rsidR="000272D8" w:rsidRPr="00A071CA">
        <w:rPr>
          <w:rFonts w:ascii="Arial" w:hAnsi="Arial" w:cs="Arial"/>
          <w:shd w:val="clear" w:color="auto" w:fill="FFFFFF"/>
        </w:rPr>
        <w:t xml:space="preserve"> with reference to Regulation 16</w:t>
      </w:r>
      <w:r w:rsidRPr="00A071CA">
        <w:rPr>
          <w:rFonts w:ascii="Arial" w:hAnsi="Arial" w:cs="Arial"/>
          <w:shd w:val="clear" w:color="auto" w:fill="FFFFFF"/>
        </w:rPr>
        <w:t xml:space="preserve">(3) of the </w:t>
      </w:r>
      <w:r w:rsidRPr="00A071CA">
        <w:rPr>
          <w:rFonts w:ascii="Arial" w:hAnsi="Arial" w:cs="Arial"/>
          <w:i/>
          <w:shd w:val="clear" w:color="auto" w:fill="FFFFFF"/>
        </w:rPr>
        <w:t>Building Services (Complaint Resolution and Administration) Regulations 2011</w:t>
      </w:r>
      <w:r w:rsidRPr="00A071CA">
        <w:rPr>
          <w:rFonts w:ascii="Arial" w:hAnsi="Arial" w:cs="Arial"/>
          <w:shd w:val="clear" w:color="auto" w:fill="FFFFFF"/>
        </w:rPr>
        <w:t xml:space="preserve">, </w:t>
      </w:r>
      <w:r w:rsidR="00560E8F" w:rsidRPr="00A071CA">
        <w:rPr>
          <w:rFonts w:ascii="Arial" w:hAnsi="Arial" w:cs="Arial"/>
          <w:shd w:val="clear" w:color="auto" w:fill="FFFFFF"/>
        </w:rPr>
        <w:t>which states:</w:t>
      </w:r>
    </w:p>
    <w:p w:rsidR="00560E8F" w:rsidRPr="00A071CA" w:rsidRDefault="00560E8F" w:rsidP="00A071CA">
      <w:pPr>
        <w:spacing w:before="120" w:after="0" w:line="240" w:lineRule="auto"/>
        <w:ind w:left="1134" w:right="851"/>
        <w:rPr>
          <w:rFonts w:ascii="Arial" w:eastAsia="Times New Roman" w:hAnsi="Arial" w:cs="Arial"/>
          <w:b/>
          <w:bCs/>
          <w:i/>
          <w:szCs w:val="20"/>
        </w:rPr>
      </w:pPr>
      <w:r w:rsidRPr="00A071CA">
        <w:rPr>
          <w:rFonts w:ascii="Arial" w:eastAsia="Times New Roman" w:hAnsi="Arial" w:cs="Arial"/>
          <w:b/>
          <w:bCs/>
          <w:i/>
        </w:rPr>
        <w:t xml:space="preserve">16. </w:t>
      </w:r>
      <w:r w:rsidRPr="00A071CA">
        <w:rPr>
          <w:rFonts w:ascii="Arial" w:eastAsia="Times New Roman" w:hAnsi="Arial" w:cs="Arial"/>
          <w:b/>
          <w:bCs/>
          <w:i/>
          <w:szCs w:val="20"/>
        </w:rPr>
        <w:t>Refund of levy</w:t>
      </w:r>
    </w:p>
    <w:p w:rsidR="00560E8F" w:rsidRPr="00A071CA" w:rsidRDefault="00560E8F" w:rsidP="00A071CA">
      <w:pPr>
        <w:spacing w:before="120" w:after="120" w:line="240" w:lineRule="auto"/>
        <w:ind w:left="1134" w:right="851"/>
        <w:rPr>
          <w:rFonts w:ascii="Arial" w:eastAsia="Times New Roman" w:hAnsi="Arial" w:cs="Arial"/>
          <w:b/>
          <w:bCs/>
          <w:i/>
        </w:rPr>
      </w:pPr>
      <w:r w:rsidRPr="00A071CA">
        <w:rPr>
          <w:rFonts w:ascii="Arial" w:hAnsi="Arial" w:cs="Arial"/>
          <w:sz w:val="24"/>
          <w:szCs w:val="24"/>
        </w:rPr>
        <w:t>[…]</w:t>
      </w:r>
    </w:p>
    <w:p w:rsidR="00560E8F" w:rsidRPr="00A071CA" w:rsidRDefault="00560E8F" w:rsidP="00A071CA">
      <w:pPr>
        <w:numPr>
          <w:ilvl w:val="0"/>
          <w:numId w:val="2"/>
        </w:numPr>
        <w:spacing w:before="120" w:after="240" w:line="240" w:lineRule="auto"/>
        <w:ind w:left="1508" w:right="851" w:hanging="374"/>
        <w:rPr>
          <w:rFonts w:ascii="Arial" w:eastAsia="Times New Roman" w:hAnsi="Arial" w:cs="Arial"/>
          <w:bCs/>
          <w:i/>
          <w:szCs w:val="20"/>
        </w:rPr>
      </w:pPr>
      <w:r w:rsidRPr="00A071CA">
        <w:rPr>
          <w:rFonts w:ascii="Arial" w:eastAsia="Times New Roman" w:hAnsi="Arial" w:cs="Arial"/>
          <w:bCs/>
          <w:i/>
          <w:szCs w:val="20"/>
        </w:rPr>
        <w:t>The Building Commissioner may refund all or part of an amount of building services levy that has been paid in a particular case if the Building Commissioner is satisfied that exceptional circumstances warrant the refund being given in that case.</w:t>
      </w:r>
    </w:p>
    <w:p w:rsidR="008438EF" w:rsidRPr="00A071CA" w:rsidRDefault="008438EF" w:rsidP="00A071CA">
      <w:pPr>
        <w:spacing w:after="240"/>
        <w:rPr>
          <w:rFonts w:ascii="Arial" w:hAnsi="Arial" w:cs="Arial"/>
          <w:shd w:val="clear" w:color="auto" w:fill="FFFFFF"/>
        </w:rPr>
      </w:pPr>
      <w:r w:rsidRPr="00A071CA">
        <w:rPr>
          <w:rFonts w:ascii="Arial" w:hAnsi="Arial" w:cs="Arial"/>
          <w:shd w:val="clear" w:color="auto" w:fill="FFFFFF"/>
        </w:rPr>
        <w:t xml:space="preserve">It should be noted that any application for a refund made for Building Services Levy </w:t>
      </w:r>
      <w:r w:rsidR="00352210" w:rsidRPr="00A071CA">
        <w:rPr>
          <w:rFonts w:ascii="Arial" w:hAnsi="Arial" w:cs="Arial"/>
          <w:shd w:val="clear" w:color="auto" w:fill="FFFFFF"/>
        </w:rPr>
        <w:t xml:space="preserve">(BSL) </w:t>
      </w:r>
      <w:r w:rsidRPr="00A071CA">
        <w:rPr>
          <w:rFonts w:ascii="Arial" w:hAnsi="Arial" w:cs="Arial"/>
          <w:shd w:val="clear" w:color="auto" w:fill="FFFFFF"/>
        </w:rPr>
        <w:t xml:space="preserve">under this Regulation </w:t>
      </w:r>
      <w:r w:rsidR="00560E8F" w:rsidRPr="00A071CA">
        <w:rPr>
          <w:rFonts w:ascii="Arial" w:hAnsi="Arial" w:cs="Arial"/>
          <w:shd w:val="clear" w:color="auto" w:fill="FFFFFF"/>
        </w:rPr>
        <w:t xml:space="preserve">will be </w:t>
      </w:r>
      <w:r w:rsidRPr="00A071CA">
        <w:rPr>
          <w:rFonts w:ascii="Arial" w:hAnsi="Arial" w:cs="Arial"/>
          <w:shd w:val="clear" w:color="auto" w:fill="FFFFFF"/>
        </w:rPr>
        <w:t>considered on</w:t>
      </w:r>
      <w:r w:rsidR="00E642B5" w:rsidRPr="00A071CA">
        <w:rPr>
          <w:rFonts w:ascii="Arial" w:hAnsi="Arial" w:cs="Arial"/>
          <w:shd w:val="clear" w:color="auto" w:fill="FFFFFF"/>
        </w:rPr>
        <w:t xml:space="preserve"> a case by case basis and on the</w:t>
      </w:r>
      <w:r w:rsidR="00352210" w:rsidRPr="00A071CA">
        <w:rPr>
          <w:rFonts w:ascii="Arial" w:hAnsi="Arial" w:cs="Arial"/>
          <w:shd w:val="clear" w:color="auto" w:fill="FFFFFF"/>
        </w:rPr>
        <w:t xml:space="preserve"> </w:t>
      </w:r>
      <w:r w:rsidRPr="00A071CA">
        <w:rPr>
          <w:rFonts w:ascii="Arial" w:hAnsi="Arial" w:cs="Arial"/>
          <w:shd w:val="clear" w:color="auto" w:fill="FFFFFF"/>
        </w:rPr>
        <w:t>individual merits</w:t>
      </w:r>
      <w:r w:rsidR="00E642B5" w:rsidRPr="00A071CA">
        <w:rPr>
          <w:rFonts w:ascii="Arial" w:hAnsi="Arial" w:cs="Arial"/>
          <w:shd w:val="clear" w:color="auto" w:fill="FFFFFF"/>
        </w:rPr>
        <w:t xml:space="preserve"> presented</w:t>
      </w:r>
      <w:r w:rsidRPr="00A071CA">
        <w:rPr>
          <w:rFonts w:ascii="Arial" w:hAnsi="Arial" w:cs="Arial"/>
          <w:shd w:val="clear" w:color="auto" w:fill="FFFFFF"/>
        </w:rPr>
        <w:t>.</w:t>
      </w:r>
    </w:p>
    <w:p w:rsidR="008438EF" w:rsidRPr="00A071CA" w:rsidRDefault="008438EF" w:rsidP="00A071CA">
      <w:pPr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</w:pPr>
      <w:r w:rsidRPr="00A071CA"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Definition</w:t>
      </w:r>
      <w:r w:rsidR="00A552B9" w:rsidRPr="00A071CA"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s</w:t>
      </w:r>
    </w:p>
    <w:p w:rsidR="007F38AA" w:rsidRPr="00A071CA" w:rsidRDefault="007F38AA" w:rsidP="00A071CA">
      <w:pPr>
        <w:rPr>
          <w:rFonts w:ascii="Arial" w:hAnsi="Arial" w:cs="Arial"/>
          <w:shd w:val="clear" w:color="auto" w:fill="FFFFFF"/>
        </w:rPr>
      </w:pPr>
      <w:r w:rsidRPr="00A071CA">
        <w:rPr>
          <w:rFonts w:ascii="Arial" w:hAnsi="Arial" w:cs="Arial"/>
          <w:shd w:val="clear" w:color="auto" w:fill="FFFFFF"/>
        </w:rPr>
        <w:t>In relation to what may constitute exceptional circumstances, there is no precise definition.  However, some interpretations are as follows:</w:t>
      </w:r>
    </w:p>
    <w:p w:rsidR="00B15875" w:rsidRPr="00A071CA" w:rsidRDefault="00A552B9" w:rsidP="00A071CA">
      <w:pPr>
        <w:rPr>
          <w:rFonts w:ascii="Arial" w:hAnsi="Arial" w:cs="Arial"/>
          <w:i/>
          <w:shd w:val="clear" w:color="auto" w:fill="FFFFFF"/>
        </w:rPr>
      </w:pPr>
      <w:r w:rsidRPr="00A071CA">
        <w:rPr>
          <w:rFonts w:ascii="Arial" w:hAnsi="Arial" w:cs="Arial"/>
          <w:b/>
          <w:bCs/>
          <w:shd w:val="clear" w:color="auto" w:fill="FFFFFF"/>
        </w:rPr>
        <w:t>Exceptional circumstances:</w:t>
      </w:r>
      <w:r w:rsidRPr="00A071CA">
        <w:rPr>
          <w:rFonts w:ascii="Arial" w:hAnsi="Arial" w:cs="Arial"/>
          <w:shd w:val="clear" w:color="auto" w:fill="FFFFFF"/>
        </w:rPr>
        <w:t> An u</w:t>
      </w:r>
      <w:r w:rsidR="00B15875" w:rsidRPr="00A071CA">
        <w:rPr>
          <w:rFonts w:ascii="Arial" w:hAnsi="Arial" w:cs="Arial"/>
          <w:shd w:val="clear" w:color="auto" w:fill="FFFFFF"/>
        </w:rPr>
        <w:t>nusual situation which is not ordinary for a particular place or time.</w:t>
      </w:r>
      <w:r w:rsidR="005914B5" w:rsidRPr="00A071CA">
        <w:rPr>
          <w:rFonts w:ascii="Arial" w:hAnsi="Arial" w:cs="Arial"/>
          <w:shd w:val="clear" w:color="auto" w:fill="FFFFFF"/>
        </w:rPr>
        <w:t xml:space="preserve"> </w:t>
      </w:r>
      <w:r w:rsidR="005914B5" w:rsidRPr="00A071CA">
        <w:rPr>
          <w:rFonts w:ascii="Arial" w:hAnsi="Arial" w:cs="Arial"/>
          <w:i/>
          <w:shd w:val="clear" w:color="auto" w:fill="FFFFFF"/>
        </w:rPr>
        <w:t>TheLaw.com Dictionary</w:t>
      </w:r>
    </w:p>
    <w:p w:rsidR="001346F5" w:rsidRPr="00A071CA" w:rsidRDefault="001346F5" w:rsidP="00A071CA">
      <w:pPr>
        <w:rPr>
          <w:rFonts w:ascii="Arial" w:hAnsi="Arial" w:cs="Arial"/>
          <w:shd w:val="clear" w:color="auto" w:fill="FFFFFF"/>
        </w:rPr>
      </w:pPr>
      <w:r w:rsidRPr="00A071CA">
        <w:rPr>
          <w:rFonts w:ascii="Arial" w:hAnsi="Arial" w:cs="Arial"/>
          <w:b/>
          <w:bCs/>
          <w:shd w:val="clear" w:color="auto" w:fill="FFFFFF"/>
        </w:rPr>
        <w:t>Exceptional circumstances:</w:t>
      </w:r>
      <w:r w:rsidRPr="00A071CA">
        <w:rPr>
          <w:rFonts w:ascii="Arial" w:hAnsi="Arial" w:cs="Arial"/>
          <w:shd w:val="clear" w:color="auto" w:fill="FFFFFF"/>
        </w:rPr>
        <w:t xml:space="preserve"> are the conditions required to grant additional powers to a government so as to alleviate, or mitigate, unforeseen or unconventional hardship. </w:t>
      </w:r>
      <w:r w:rsidRPr="00A071CA">
        <w:rPr>
          <w:rFonts w:ascii="Arial" w:hAnsi="Arial" w:cs="Arial"/>
          <w:i/>
          <w:shd w:val="clear" w:color="auto" w:fill="FFFFFF"/>
        </w:rPr>
        <w:t>Wikipedia</w:t>
      </w:r>
    </w:p>
    <w:p w:rsidR="00A552B9" w:rsidRPr="00A071CA" w:rsidRDefault="00A071CA" w:rsidP="00A071CA">
      <w:pPr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Legal c</w:t>
      </w:r>
      <w:r w:rsidR="005914B5" w:rsidRPr="00A071CA"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ommentary</w:t>
      </w:r>
    </w:p>
    <w:p w:rsidR="007F38AA" w:rsidRPr="00A071CA" w:rsidRDefault="007F38AA" w:rsidP="00A071CA">
      <w:pPr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A071CA">
        <w:rPr>
          <w:rFonts w:ascii="Arial" w:hAnsi="Arial" w:cs="Arial"/>
          <w:shd w:val="clear" w:color="auto" w:fill="FFFFFF"/>
        </w:rPr>
        <w:t xml:space="preserve">The High Court in Baker v R (2004) 223 CLR 513 at [173] stated: </w:t>
      </w:r>
      <w:r w:rsidR="00B518FE" w:rsidRPr="00A071CA">
        <w:rPr>
          <w:rFonts w:ascii="Arial" w:hAnsi="Arial" w:cs="Arial"/>
          <w:shd w:val="clear" w:color="auto" w:fill="FFFFFF"/>
        </w:rPr>
        <w:t xml:space="preserve"> </w:t>
      </w:r>
      <w:r w:rsidRPr="00A071CA">
        <w:rPr>
          <w:rFonts w:ascii="Arial" w:hAnsi="Arial" w:cs="Arial"/>
          <w:shd w:val="clear" w:color="auto" w:fill="FFFFFF"/>
        </w:rPr>
        <w:t>Speaking of the expression "exceptional circumstances" in s</w:t>
      </w:r>
      <w:r w:rsidR="00B518FE" w:rsidRPr="00A071CA">
        <w:rPr>
          <w:rFonts w:ascii="Arial" w:hAnsi="Arial" w:cs="Arial"/>
          <w:shd w:val="clear" w:color="auto" w:fill="FFFFFF"/>
        </w:rPr>
        <w:t>ection</w:t>
      </w:r>
      <w:r w:rsidRPr="00A071CA">
        <w:rPr>
          <w:rFonts w:ascii="Arial" w:hAnsi="Arial" w:cs="Arial"/>
          <w:shd w:val="clear" w:color="auto" w:fill="FFFFFF"/>
        </w:rPr>
        <w:t xml:space="preserve"> 2 of the Crime (Sentences) Act 1997 (UK) required for a decision not to impose a sentence of life imprisonment, Lord Bingham of Cornhill C</w:t>
      </w:r>
      <w:r w:rsidR="00C82E22" w:rsidRPr="00A071CA">
        <w:rPr>
          <w:rFonts w:ascii="Arial" w:hAnsi="Arial" w:cs="Arial"/>
          <w:shd w:val="clear" w:color="auto" w:fill="FFFFFF"/>
        </w:rPr>
        <w:t>J said in R v Kelly (Edward)242</w:t>
      </w:r>
      <w:r w:rsidRPr="00A071CA">
        <w:rPr>
          <w:rFonts w:ascii="Arial" w:hAnsi="Arial" w:cs="Arial"/>
          <w:shd w:val="clear" w:color="auto" w:fill="FFFFFF"/>
        </w:rPr>
        <w:t>:</w:t>
      </w:r>
      <w:r w:rsidRPr="00A071CA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</w:t>
      </w:r>
    </w:p>
    <w:p w:rsidR="005914B5" w:rsidRPr="00A071CA" w:rsidRDefault="004A1C16" w:rsidP="00A071CA">
      <w:pPr>
        <w:rPr>
          <w:rStyle w:val="Emphasis"/>
          <w:rFonts w:ascii="Arial" w:hAnsi="Arial" w:cs="Arial"/>
          <w:shd w:val="clear" w:color="auto" w:fill="FFFFFF"/>
        </w:rPr>
      </w:pPr>
      <w:r w:rsidRPr="00A071CA">
        <w:rPr>
          <w:rStyle w:val="Emphasis"/>
          <w:rFonts w:ascii="Arial" w:hAnsi="Arial" w:cs="Arial"/>
          <w:shd w:val="clear" w:color="auto" w:fill="FFFFFF"/>
        </w:rPr>
        <w:t xml:space="preserve">“We must construe exceptional “as an ordinary, familiar English </w:t>
      </w:r>
      <w:proofErr w:type="gramStart"/>
      <w:r w:rsidRPr="00A071CA">
        <w:rPr>
          <w:rStyle w:val="Emphasis"/>
          <w:rFonts w:ascii="Arial" w:hAnsi="Arial" w:cs="Arial"/>
          <w:shd w:val="clear" w:color="auto" w:fill="FFFFFF"/>
        </w:rPr>
        <w:t>adjective,</w:t>
      </w:r>
      <w:proofErr w:type="gramEnd"/>
      <w:r w:rsidRPr="00A071CA">
        <w:rPr>
          <w:rStyle w:val="Emphasis"/>
          <w:rFonts w:ascii="Arial" w:hAnsi="Arial" w:cs="Arial"/>
          <w:shd w:val="clear" w:color="auto" w:fill="FFFFFF"/>
        </w:rPr>
        <w:t xml:space="preserve"> and not as a term of art. It describes a circumstance which is such as to form an exception, which is out of the ordinary course, or unusual, or special, or uncommon. To be exceptional a circumstance need not be unique, or unprecedented, or very rare; but it cannot be one that is regularly, or routinely, or normally encountered.”</w:t>
      </w:r>
    </w:p>
    <w:p w:rsidR="00A071CA" w:rsidRDefault="00A071CA" w:rsidP="00A071CA">
      <w:pPr>
        <w:rPr>
          <w:rStyle w:val="Emphasis"/>
          <w:rFonts w:ascii="Arial" w:hAnsi="Arial" w:cs="Arial"/>
          <w:b/>
          <w:i w:val="0"/>
          <w:color w:val="1F497D" w:themeColor="text2"/>
          <w:sz w:val="32"/>
          <w:szCs w:val="32"/>
          <w:u w:val="single"/>
          <w:shd w:val="clear" w:color="auto" w:fill="FFFFFF"/>
        </w:rPr>
      </w:pPr>
    </w:p>
    <w:p w:rsidR="005914B5" w:rsidRPr="00A071CA" w:rsidRDefault="00A071CA" w:rsidP="00A071CA">
      <w:pPr>
        <w:rPr>
          <w:rStyle w:val="Emphasis"/>
          <w:rFonts w:ascii="Arial" w:hAnsi="Arial" w:cs="Arial"/>
          <w:b/>
          <w:i w:val="0"/>
          <w:color w:val="1F497D" w:themeColor="text2"/>
          <w:sz w:val="32"/>
          <w:szCs w:val="32"/>
          <w:u w:val="single"/>
          <w:shd w:val="clear" w:color="auto" w:fill="FFFFFF"/>
        </w:rPr>
      </w:pPr>
      <w:r>
        <w:rPr>
          <w:rStyle w:val="Emphasis"/>
          <w:rFonts w:ascii="Arial" w:hAnsi="Arial" w:cs="Arial"/>
          <w:b/>
          <w:i w:val="0"/>
          <w:color w:val="1F497D" w:themeColor="text2"/>
          <w:sz w:val="32"/>
          <w:szCs w:val="32"/>
          <w:u w:val="single"/>
          <w:shd w:val="clear" w:color="auto" w:fill="FFFFFF"/>
        </w:rPr>
        <w:t>Qualifying c</w:t>
      </w:r>
      <w:r w:rsidR="005914B5" w:rsidRPr="00A071CA">
        <w:rPr>
          <w:rStyle w:val="Emphasis"/>
          <w:rFonts w:ascii="Arial" w:hAnsi="Arial" w:cs="Arial"/>
          <w:b/>
          <w:i w:val="0"/>
          <w:color w:val="1F497D" w:themeColor="text2"/>
          <w:sz w:val="32"/>
          <w:szCs w:val="32"/>
          <w:u w:val="single"/>
          <w:shd w:val="clear" w:color="auto" w:fill="FFFFFF"/>
        </w:rPr>
        <w:t>riteria</w:t>
      </w:r>
    </w:p>
    <w:p w:rsidR="008710E0" w:rsidRPr="00A071CA" w:rsidRDefault="008710E0" w:rsidP="00A071CA">
      <w:pPr>
        <w:spacing w:after="240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In order for</w:t>
      </w:r>
      <w:r w:rsidR="0058320E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 the Building Commissioner to be satisfied that a refund of Building Services Levy is </w:t>
      </w:r>
      <w:r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justified</w:t>
      </w:r>
      <w:r w:rsidR="0058320E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, it must be due to an exceptional circumstance which has resulted in </w:t>
      </w:r>
      <w:r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an inability to fulfil the purpose of the permit</w:t>
      </w:r>
      <w:r w:rsidR="0058320E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.  </w:t>
      </w:r>
    </w:p>
    <w:p w:rsidR="007F38AA" w:rsidRPr="00A071CA" w:rsidRDefault="00F952D2" w:rsidP="00A071CA">
      <w:pPr>
        <w:spacing w:after="240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Situations </w:t>
      </w:r>
      <w:r w:rsidR="007F38AA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which migh</w:t>
      </w:r>
      <w:r w:rsidR="00560E8F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>t, but are</w:t>
      </w:r>
      <w:r w:rsidR="007F38AA" w:rsidRPr="00A071CA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 not limited to, being considered exceptional circumstances are as follows:</w:t>
      </w:r>
    </w:p>
    <w:p w:rsidR="0063447B" w:rsidRPr="00A071CA" w:rsidRDefault="0063447B" w:rsidP="00A071CA">
      <w:pPr>
        <w:pStyle w:val="Heading4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29"/>
          <w:szCs w:val="29"/>
        </w:rPr>
      </w:pPr>
      <w:r w:rsidRPr="00A071CA">
        <w:rPr>
          <w:rFonts w:ascii="Arial" w:hAnsi="Arial" w:cs="Arial"/>
          <w:sz w:val="29"/>
          <w:szCs w:val="29"/>
        </w:rPr>
        <w:t xml:space="preserve">Where the matter involves the </w:t>
      </w:r>
      <w:r w:rsidR="00DC2D89" w:rsidRPr="00A071CA">
        <w:rPr>
          <w:rFonts w:ascii="Arial" w:hAnsi="Arial" w:cs="Arial"/>
          <w:sz w:val="29"/>
          <w:szCs w:val="29"/>
        </w:rPr>
        <w:t xml:space="preserve">sudden </w:t>
      </w:r>
      <w:r w:rsidRPr="00A071CA">
        <w:rPr>
          <w:rFonts w:ascii="Arial" w:hAnsi="Arial" w:cs="Arial"/>
          <w:sz w:val="29"/>
          <w:szCs w:val="29"/>
        </w:rPr>
        <w:t>death of a person</w:t>
      </w:r>
    </w:p>
    <w:p w:rsidR="0063447B" w:rsidRPr="00A071CA" w:rsidRDefault="0063447B" w:rsidP="00A071CA">
      <w:pPr>
        <w:spacing w:after="240"/>
        <w:rPr>
          <w:rFonts w:ascii="Arial" w:hAnsi="Arial" w:cs="Arial"/>
          <w:sz w:val="24"/>
          <w:szCs w:val="24"/>
          <w:shd w:val="clear" w:color="auto" w:fill="FFFFFF"/>
        </w:rPr>
      </w:pPr>
      <w:r w:rsidRPr="00A071CA">
        <w:rPr>
          <w:rFonts w:ascii="Arial" w:hAnsi="Arial" w:cs="Arial"/>
          <w:sz w:val="24"/>
          <w:szCs w:val="24"/>
          <w:shd w:val="clear" w:color="auto" w:fill="FFFFFF"/>
        </w:rPr>
        <w:t>Such as</w:t>
      </w:r>
      <w:r w:rsidR="00DC2D89"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665A9"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death of the </w:t>
      </w:r>
      <w:r w:rsidRPr="00A071CA">
        <w:rPr>
          <w:rFonts w:ascii="Arial" w:hAnsi="Arial" w:cs="Arial"/>
          <w:sz w:val="24"/>
          <w:szCs w:val="24"/>
          <w:shd w:val="clear" w:color="auto" w:fill="FFFFFF"/>
        </w:rPr>
        <w:t>applicant</w:t>
      </w:r>
      <w:r w:rsidR="00F665A9"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or</w:t>
      </w:r>
      <w:r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an immediate family member, resulting in an inability to continue with the permitted works.</w:t>
      </w:r>
    </w:p>
    <w:p w:rsidR="00DC2D89" w:rsidRPr="00A071CA" w:rsidRDefault="00DC2D89" w:rsidP="00A071CA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9"/>
          <w:szCs w:val="29"/>
          <w:lang w:eastAsia="en-AU"/>
        </w:rPr>
      </w:pPr>
      <w:r w:rsidRPr="00A071CA">
        <w:rPr>
          <w:rFonts w:ascii="Arial" w:eastAsia="Times New Roman" w:hAnsi="Arial" w:cs="Arial"/>
          <w:b/>
          <w:bCs/>
          <w:sz w:val="29"/>
          <w:szCs w:val="29"/>
          <w:lang w:eastAsia="en-AU"/>
        </w:rPr>
        <w:t>Where the applicant is at a special disadvantage</w:t>
      </w:r>
    </w:p>
    <w:p w:rsidR="00DC2D89" w:rsidRPr="00A071CA" w:rsidRDefault="00DC2D89" w:rsidP="00A071CA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A071CA">
        <w:rPr>
          <w:rFonts w:ascii="Arial" w:eastAsia="Times New Roman" w:hAnsi="Arial" w:cs="Arial"/>
          <w:bCs/>
          <w:sz w:val="24"/>
          <w:szCs w:val="24"/>
          <w:lang w:eastAsia="en-AU"/>
        </w:rPr>
        <w:t>Such as, but not limited to:</w:t>
      </w:r>
    </w:p>
    <w:p w:rsidR="00DC2D89" w:rsidRPr="00A071CA" w:rsidRDefault="00DC2D89" w:rsidP="00A071C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A071CA">
        <w:rPr>
          <w:rFonts w:ascii="Arial" w:eastAsia="Times New Roman" w:hAnsi="Arial" w:cs="Arial"/>
          <w:bCs/>
          <w:sz w:val="24"/>
          <w:szCs w:val="24"/>
          <w:lang w:eastAsia="en-AU"/>
        </w:rPr>
        <w:t>Accidental and permanent disability</w:t>
      </w:r>
    </w:p>
    <w:p w:rsidR="00DC2D89" w:rsidRPr="00A071CA" w:rsidRDefault="00DC2D89" w:rsidP="00A071C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A071CA">
        <w:rPr>
          <w:rFonts w:ascii="Arial" w:eastAsia="Times New Roman" w:hAnsi="Arial" w:cs="Arial"/>
          <w:bCs/>
          <w:sz w:val="24"/>
          <w:szCs w:val="24"/>
          <w:lang w:eastAsia="en-AU"/>
        </w:rPr>
        <w:t>Physical abuse between the interested parties</w:t>
      </w:r>
    </w:p>
    <w:p w:rsidR="00352210" w:rsidRPr="00A071CA" w:rsidRDefault="00DC2D89" w:rsidP="00A071C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A071CA">
        <w:rPr>
          <w:rFonts w:ascii="Arial" w:eastAsia="Times New Roman" w:hAnsi="Arial" w:cs="Arial"/>
          <w:bCs/>
          <w:sz w:val="24"/>
          <w:szCs w:val="24"/>
          <w:lang w:eastAsia="en-AU"/>
        </w:rPr>
        <w:t>Unexpected and unforeseen hardship</w:t>
      </w:r>
    </w:p>
    <w:p w:rsidR="00F952D2" w:rsidRPr="00A071CA" w:rsidRDefault="0063447B" w:rsidP="00A071CA">
      <w:pPr>
        <w:pStyle w:val="Heading4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29"/>
          <w:szCs w:val="29"/>
        </w:rPr>
      </w:pPr>
      <w:r w:rsidRPr="00A071CA">
        <w:rPr>
          <w:rFonts w:ascii="Arial" w:hAnsi="Arial" w:cs="Arial"/>
          <w:sz w:val="29"/>
          <w:szCs w:val="29"/>
        </w:rPr>
        <w:t>Other circumstances</w:t>
      </w:r>
      <w:r w:rsidR="00CF1EED" w:rsidRPr="00A071CA">
        <w:rPr>
          <w:rFonts w:ascii="Arial" w:hAnsi="Arial" w:cs="Arial"/>
          <w:sz w:val="29"/>
          <w:szCs w:val="29"/>
        </w:rPr>
        <w:t xml:space="preserve"> </w:t>
      </w:r>
    </w:p>
    <w:p w:rsidR="00CF1EED" w:rsidRPr="00A071CA" w:rsidRDefault="00F952D2" w:rsidP="00A071CA">
      <w:pPr>
        <w:pStyle w:val="Heading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shd w:val="clear" w:color="auto" w:fill="FFFFFF"/>
        </w:rPr>
      </w:pPr>
      <w:r w:rsidRPr="00A071CA">
        <w:rPr>
          <w:rFonts w:ascii="Arial" w:hAnsi="Arial" w:cs="Arial"/>
          <w:b w:val="0"/>
          <w:shd w:val="clear" w:color="auto" w:fill="FFFFFF"/>
        </w:rPr>
        <w:t>S</w:t>
      </w:r>
      <w:r w:rsidR="00DC2D89" w:rsidRPr="00A071CA">
        <w:rPr>
          <w:rFonts w:ascii="Arial" w:hAnsi="Arial" w:cs="Arial"/>
          <w:b w:val="0"/>
          <w:shd w:val="clear" w:color="auto" w:fill="FFFFFF"/>
        </w:rPr>
        <w:t xml:space="preserve">uch as </w:t>
      </w:r>
      <w:r w:rsidR="00F665A9" w:rsidRPr="00A071CA">
        <w:rPr>
          <w:rFonts w:ascii="Arial" w:hAnsi="Arial" w:cs="Arial"/>
          <w:b w:val="0"/>
          <w:shd w:val="clear" w:color="auto" w:fill="FFFFFF"/>
        </w:rPr>
        <w:t>n</w:t>
      </w:r>
      <w:r w:rsidR="0063447B" w:rsidRPr="00A071CA">
        <w:rPr>
          <w:rFonts w:ascii="Arial" w:hAnsi="Arial" w:cs="Arial"/>
          <w:b w:val="0"/>
          <w:shd w:val="clear" w:color="auto" w:fill="FFFFFF"/>
        </w:rPr>
        <w:t>atural disaster</w:t>
      </w:r>
      <w:r w:rsidR="00DC2D89" w:rsidRPr="00A071CA">
        <w:rPr>
          <w:rFonts w:ascii="Arial" w:hAnsi="Arial" w:cs="Arial"/>
          <w:b w:val="0"/>
          <w:shd w:val="clear" w:color="auto" w:fill="FFFFFF"/>
        </w:rPr>
        <w:t>s</w:t>
      </w:r>
      <w:r w:rsidR="0063447B" w:rsidRPr="00A071CA">
        <w:rPr>
          <w:rFonts w:ascii="Arial" w:hAnsi="Arial" w:cs="Arial"/>
          <w:b w:val="0"/>
          <w:shd w:val="clear" w:color="auto" w:fill="FFFFFF"/>
        </w:rPr>
        <w:t xml:space="preserve">, </w:t>
      </w:r>
      <w:r w:rsidR="000C507B" w:rsidRPr="00A071CA">
        <w:rPr>
          <w:rFonts w:ascii="Arial" w:hAnsi="Arial" w:cs="Arial"/>
          <w:b w:val="0"/>
          <w:shd w:val="clear" w:color="auto" w:fill="FFFFFF"/>
        </w:rPr>
        <w:t>unforeseen</w:t>
      </w:r>
      <w:r w:rsidR="0063447B" w:rsidRPr="00A071CA">
        <w:rPr>
          <w:rFonts w:ascii="Arial" w:hAnsi="Arial" w:cs="Arial"/>
          <w:b w:val="0"/>
          <w:shd w:val="clear" w:color="auto" w:fill="FFFFFF"/>
        </w:rPr>
        <w:t xml:space="preserve"> serious health issues (e.g. heart attack / terminal cancer diagnosis / stroke)</w:t>
      </w:r>
      <w:r w:rsidRPr="00A071CA">
        <w:rPr>
          <w:rFonts w:ascii="Arial" w:hAnsi="Arial" w:cs="Arial"/>
          <w:b w:val="0"/>
          <w:shd w:val="clear" w:color="auto" w:fill="FFFFFF"/>
        </w:rPr>
        <w:t xml:space="preserve"> or</w:t>
      </w:r>
      <w:r w:rsidR="00DC2D89" w:rsidRPr="00A071CA">
        <w:rPr>
          <w:rFonts w:ascii="Arial" w:hAnsi="Arial" w:cs="Arial"/>
          <w:b w:val="0"/>
          <w:shd w:val="clear" w:color="auto" w:fill="FFFFFF"/>
        </w:rPr>
        <w:t xml:space="preserve"> being a victim of </w:t>
      </w:r>
      <w:r w:rsidRPr="00A071CA">
        <w:rPr>
          <w:rFonts w:ascii="Arial" w:hAnsi="Arial" w:cs="Arial"/>
          <w:b w:val="0"/>
          <w:shd w:val="clear" w:color="auto" w:fill="FFFFFF"/>
        </w:rPr>
        <w:t xml:space="preserve">a </w:t>
      </w:r>
      <w:r w:rsidR="00DC2D89" w:rsidRPr="00A071CA">
        <w:rPr>
          <w:rFonts w:ascii="Arial" w:hAnsi="Arial" w:cs="Arial"/>
          <w:b w:val="0"/>
          <w:shd w:val="clear" w:color="auto" w:fill="FFFFFF"/>
        </w:rPr>
        <w:t xml:space="preserve">serious crime or </w:t>
      </w:r>
      <w:r w:rsidR="00CF1EED" w:rsidRPr="00A071CA">
        <w:rPr>
          <w:rFonts w:ascii="Arial" w:hAnsi="Arial" w:cs="Arial"/>
          <w:b w:val="0"/>
          <w:shd w:val="clear" w:color="auto" w:fill="FFFFFF"/>
        </w:rPr>
        <w:t>trauma might also be considered exceptional circumstances.</w:t>
      </w:r>
    </w:p>
    <w:p w:rsidR="00CF1EED" w:rsidRPr="00A071CA" w:rsidRDefault="00CF1EED" w:rsidP="00A071C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071CA">
        <w:rPr>
          <w:rFonts w:ascii="Arial" w:hAnsi="Arial" w:cs="Arial"/>
          <w:sz w:val="24"/>
          <w:szCs w:val="24"/>
          <w:shd w:val="clear" w:color="auto" w:fill="FFFFFF"/>
        </w:rPr>
        <w:t>If you are considering submitting a BSL refund application due to exceptional circumstan</w:t>
      </w:r>
      <w:r w:rsidR="00F952D2" w:rsidRPr="00A071CA">
        <w:rPr>
          <w:rFonts w:ascii="Arial" w:hAnsi="Arial" w:cs="Arial"/>
          <w:sz w:val="24"/>
          <w:szCs w:val="24"/>
          <w:shd w:val="clear" w:color="auto" w:fill="FFFFFF"/>
        </w:rPr>
        <w:t>ces, but you are not sure if your</w:t>
      </w:r>
      <w:r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specific set of circumstances would qualify, please contact the Department to discuss the situation further</w:t>
      </w:r>
      <w:r w:rsidR="00F952D2" w:rsidRPr="00A071CA">
        <w:rPr>
          <w:rFonts w:ascii="Arial" w:hAnsi="Arial" w:cs="Arial"/>
          <w:sz w:val="24"/>
          <w:szCs w:val="24"/>
          <w:shd w:val="clear" w:color="auto" w:fill="FFFFFF"/>
        </w:rPr>
        <w:t>.  We can be contacted by email at</w:t>
      </w:r>
      <w:r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="008710E0" w:rsidRPr="00A071C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BE.Levy@dmirs.wa.gov.au</w:t>
        </w:r>
      </w:hyperlink>
      <w:r w:rsidRPr="00A071CA">
        <w:rPr>
          <w:rFonts w:ascii="Arial" w:hAnsi="Arial" w:cs="Arial"/>
          <w:sz w:val="24"/>
          <w:szCs w:val="24"/>
          <w:shd w:val="clear" w:color="auto" w:fill="FFFFFF"/>
        </w:rPr>
        <w:t xml:space="preserve"> or by phone on (08) 6251 1273.</w:t>
      </w:r>
    </w:p>
    <w:p w:rsidR="00F27530" w:rsidRPr="00A071CA" w:rsidRDefault="00F27530" w:rsidP="00A071CA">
      <w:pPr>
        <w:rPr>
          <w:rFonts w:ascii="Arial" w:hAnsi="Arial" w:cs="Arial"/>
        </w:rPr>
      </w:pPr>
    </w:p>
    <w:sectPr w:rsidR="00F27530" w:rsidRPr="00A071CA" w:rsidSect="00CF1EE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6F0"/>
    <w:multiLevelType w:val="hybridMultilevel"/>
    <w:tmpl w:val="1BE44A28"/>
    <w:lvl w:ilvl="0" w:tplc="636227D2">
      <w:start w:val="3"/>
      <w:numFmt w:val="decimal"/>
      <w:lvlText w:val="(%1)"/>
      <w:lvlJc w:val="left"/>
      <w:pPr>
        <w:ind w:left="1509" w:hanging="37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E1A53A2"/>
    <w:multiLevelType w:val="hybridMultilevel"/>
    <w:tmpl w:val="8B26A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30"/>
    <w:rsid w:val="000272D8"/>
    <w:rsid w:val="00085ACE"/>
    <w:rsid w:val="000C507B"/>
    <w:rsid w:val="001346F5"/>
    <w:rsid w:val="00302949"/>
    <w:rsid w:val="00352210"/>
    <w:rsid w:val="00493A00"/>
    <w:rsid w:val="00496F0F"/>
    <w:rsid w:val="004A1C16"/>
    <w:rsid w:val="004C4477"/>
    <w:rsid w:val="00560E8F"/>
    <w:rsid w:val="0058320E"/>
    <w:rsid w:val="005914B5"/>
    <w:rsid w:val="0063447B"/>
    <w:rsid w:val="00732D50"/>
    <w:rsid w:val="007F38AA"/>
    <w:rsid w:val="008438EF"/>
    <w:rsid w:val="008710E0"/>
    <w:rsid w:val="008D5FEC"/>
    <w:rsid w:val="00A071CA"/>
    <w:rsid w:val="00A552B9"/>
    <w:rsid w:val="00A838A9"/>
    <w:rsid w:val="00B15875"/>
    <w:rsid w:val="00B518FE"/>
    <w:rsid w:val="00B87C0D"/>
    <w:rsid w:val="00BA7634"/>
    <w:rsid w:val="00C82E22"/>
    <w:rsid w:val="00CF1EED"/>
    <w:rsid w:val="00DC2D89"/>
    <w:rsid w:val="00E642B5"/>
    <w:rsid w:val="00F27530"/>
    <w:rsid w:val="00F665A9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5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ptitle">
    <w:name w:val="crp_title"/>
    <w:basedOn w:val="DefaultParagraphFont"/>
    <w:rsid w:val="00B15875"/>
  </w:style>
  <w:style w:type="character" w:customStyle="1" w:styleId="crpexcerpt">
    <w:name w:val="crp_excerpt"/>
    <w:basedOn w:val="DefaultParagraphFont"/>
    <w:rsid w:val="00B15875"/>
  </w:style>
  <w:style w:type="character" w:customStyle="1" w:styleId="Heading4Char">
    <w:name w:val="Heading 4 Char"/>
    <w:basedOn w:val="DefaultParagraphFont"/>
    <w:link w:val="Heading4"/>
    <w:uiPriority w:val="9"/>
    <w:rsid w:val="00B1587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344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1C16"/>
    <w:rPr>
      <w:i/>
      <w:iCs/>
    </w:rPr>
  </w:style>
  <w:style w:type="character" w:styleId="Hyperlink">
    <w:name w:val="Hyperlink"/>
    <w:basedOn w:val="DefaultParagraphFont"/>
    <w:uiPriority w:val="99"/>
    <w:unhideWhenUsed/>
    <w:rsid w:val="00CF1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5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ptitle">
    <w:name w:val="crp_title"/>
    <w:basedOn w:val="DefaultParagraphFont"/>
    <w:rsid w:val="00B15875"/>
  </w:style>
  <w:style w:type="character" w:customStyle="1" w:styleId="crpexcerpt">
    <w:name w:val="crp_excerpt"/>
    <w:basedOn w:val="DefaultParagraphFont"/>
    <w:rsid w:val="00B15875"/>
  </w:style>
  <w:style w:type="character" w:customStyle="1" w:styleId="Heading4Char">
    <w:name w:val="Heading 4 Char"/>
    <w:basedOn w:val="DefaultParagraphFont"/>
    <w:link w:val="Heading4"/>
    <w:uiPriority w:val="9"/>
    <w:rsid w:val="00B1587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344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1C16"/>
    <w:rPr>
      <w:i/>
      <w:iCs/>
    </w:rPr>
  </w:style>
  <w:style w:type="character" w:styleId="Hyperlink">
    <w:name w:val="Hyperlink"/>
    <w:basedOn w:val="DefaultParagraphFont"/>
    <w:uiPriority w:val="99"/>
    <w:unhideWhenUsed/>
    <w:rsid w:val="00CF1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.Levy@dmirs.w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A22832561</value>
    </field>
    <field name="Objective-Title">
      <value order="0">8. Annex G - Exceptional Circumstances - Framework</value>
    </field>
    <field name="Objective-Description">
      <value order="0"/>
    </field>
    <field name="Objective-CreationStamp">
      <value order="0">2018-05-16T03:09:30Z</value>
    </field>
    <field name="Objective-IsApproved">
      <value order="0">false</value>
    </field>
    <field name="Objective-IsPublished">
      <value order="0">true</value>
    </field>
    <field name="Objective-DatePublished">
      <value order="0">2018-07-19T07:10:34Z</value>
    </field>
    <field name="Objective-ModificationStamp">
      <value order="0">2018-07-19T07:10:34Z</value>
    </field>
    <field name="Objective-Owner">
      <value order="0">HARPER, Stuart</value>
    </field>
    <field name="Objective-Path">
      <value order="0">Global Folder:Commerce:Building Commission Division:Building Commission:Government Relations:Implementation:Building Permit Database - Operations:Procedures:Building Services Levy procedures:BSL Premature Remittance and Refunds - Process Options:BSL Premature Remittance Process - APPROVED</value>
    </field>
    <field name="Objective-Parent">
      <value order="0">BSL Premature Remittance Process - APPROVED</value>
    </field>
    <field name="Objective-State">
      <value order="0">Published</value>
    </field>
    <field name="Objective-VersionId">
      <value order="0">vA24958635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qA951826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Harper</dc:creator>
  <cp:lastModifiedBy>Sarah Prus</cp:lastModifiedBy>
  <cp:revision>2</cp:revision>
  <dcterms:created xsi:type="dcterms:W3CDTF">2018-07-24T04:23:00Z</dcterms:created>
  <dcterms:modified xsi:type="dcterms:W3CDTF">2018-07-24T04:23:00Z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A22832561</vt:lpwstr>
  </property>
  <property fmtid="{D5CDD505-2E9C-101B-9397-08002B2CF9AE}" pid="4" name="Objective-Title">
    <vt:lpwstr>8. Annex G - Exceptional Circumstances - Framework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2018-05-24T08:00:31Z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2018-07-19T07:10:34Z</vt:filetime>
  </property>
  <property fmtid="{D5CDD505-2E9C-101B-9397-08002B2CF9AE}" pid="10" name="Objective-ModificationStamp">
    <vt:filetime>2018-07-19T07:10:34Z</vt:filetime>
  </property>
  <property fmtid="{D5CDD505-2E9C-101B-9397-08002B2CF9AE}" pid="11" name="Objective-Owner">
    <vt:lpwstr>HARPER, Stuart</vt:lpwstr>
  </property>
  <property fmtid="{D5CDD505-2E9C-101B-9397-08002B2CF9AE}" pid="12" name="Objective-Path">
    <vt:lpwstr>Global Folder:Commerce:Building Commission Division:Building Commission:Government Relations:Implementation:Building Permit Database - Operations:Procedures:Building Services Levy procedures:BSL Premature Remittance and Refunds - Process Options:BSL Prema</vt:lpwstr>
  </property>
  <property fmtid="{D5CDD505-2E9C-101B-9397-08002B2CF9AE}" pid="13" name="Objective-Parent">
    <vt:lpwstr>BSL Premature Remittance Process - APPROVED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vA24958635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BCD1136/2016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</Properties>
</file>