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A9" w:rsidRPr="00923B23" w:rsidRDefault="00923B23" w:rsidP="00923B23">
      <w:pPr>
        <w:jc w:val="center"/>
        <w:rPr>
          <w:rFonts w:ascii="Arial" w:hAnsi="Arial" w:cs="Arial"/>
          <w:b/>
        </w:rPr>
      </w:pPr>
      <w:r w:rsidRPr="00923B23">
        <w:rPr>
          <w:rFonts w:ascii="Arial" w:hAnsi="Arial" w:cs="Arial"/>
          <w:b/>
        </w:rPr>
        <w:t>Trans</w:t>
      </w:r>
      <w:r w:rsidR="003300D3">
        <w:rPr>
          <w:rFonts w:ascii="Arial" w:hAnsi="Arial" w:cs="Arial"/>
          <w:b/>
        </w:rPr>
        <w:t>i</w:t>
      </w:r>
      <w:bookmarkStart w:id="0" w:name="_GoBack"/>
      <w:bookmarkEnd w:id="0"/>
      <w:r w:rsidRPr="00923B23">
        <w:rPr>
          <w:rFonts w:ascii="Arial" w:hAnsi="Arial" w:cs="Arial"/>
          <w:b/>
        </w:rPr>
        <w:t>tion table: Interim Code and RV Code</w:t>
      </w:r>
    </w:p>
    <w:p w:rsidR="00923B23" w:rsidRDefault="00923B23" w:rsidP="00923B23"/>
    <w:tbl>
      <w:tblPr>
        <w:tblW w:w="142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05"/>
        <w:gridCol w:w="1629"/>
        <w:gridCol w:w="3653"/>
        <w:gridCol w:w="3267"/>
        <w:gridCol w:w="4329"/>
      </w:tblGrid>
      <w:tr w:rsidR="00923B23" w:rsidRPr="00AC3F9D" w:rsidTr="00D75B6B">
        <w:trPr>
          <w:cantSplit/>
          <w:tblHeader/>
        </w:trPr>
        <w:tc>
          <w:tcPr>
            <w:tcW w:w="0" w:type="auto"/>
            <w:shd w:val="clear" w:color="auto" w:fill="B8CCE4" w:themeFill="accent1" w:themeFillTint="66"/>
            <w:tcMar>
              <w:top w:w="0" w:type="dxa"/>
              <w:left w:w="108" w:type="dxa"/>
              <w:bottom w:w="0" w:type="dxa"/>
              <w:right w:w="108" w:type="dxa"/>
            </w:tcMar>
            <w:hideMark/>
          </w:tcPr>
          <w:p w:rsidR="00923B23" w:rsidRPr="00AC3F9D" w:rsidRDefault="00923B23" w:rsidP="00D75B6B">
            <w:pPr>
              <w:rPr>
                <w:b/>
              </w:rPr>
            </w:pPr>
            <w:r w:rsidRPr="00AC3F9D">
              <w:rPr>
                <w:b/>
              </w:rPr>
              <w:t xml:space="preserve">Interim Code </w:t>
            </w:r>
          </w:p>
          <w:p w:rsidR="00923B23" w:rsidRPr="00AC3F9D" w:rsidRDefault="00923B23" w:rsidP="00D75B6B">
            <w:pPr>
              <w:rPr>
                <w:b/>
              </w:rPr>
            </w:pPr>
            <w:r w:rsidRPr="00AC3F9D">
              <w:rPr>
                <w:b/>
              </w:rPr>
              <w:t xml:space="preserve">Clause </w:t>
            </w:r>
          </w:p>
        </w:tc>
        <w:tc>
          <w:tcPr>
            <w:tcW w:w="0" w:type="auto"/>
            <w:shd w:val="clear" w:color="auto" w:fill="B8CCE4" w:themeFill="accent1" w:themeFillTint="66"/>
            <w:tcMar>
              <w:top w:w="0" w:type="dxa"/>
              <w:left w:w="108" w:type="dxa"/>
              <w:bottom w:w="0" w:type="dxa"/>
              <w:right w:w="108" w:type="dxa"/>
            </w:tcMar>
            <w:hideMark/>
          </w:tcPr>
          <w:p w:rsidR="00923B23" w:rsidRPr="00AC3F9D" w:rsidRDefault="00923B23" w:rsidP="00D75B6B">
            <w:pPr>
              <w:rPr>
                <w:b/>
              </w:rPr>
            </w:pPr>
            <w:r w:rsidRPr="00AC3F9D">
              <w:rPr>
                <w:b/>
              </w:rPr>
              <w:t xml:space="preserve">RV Code Clause </w:t>
            </w:r>
          </w:p>
        </w:tc>
        <w:tc>
          <w:tcPr>
            <w:tcW w:w="3653" w:type="dxa"/>
            <w:shd w:val="clear" w:color="auto" w:fill="B8CCE4" w:themeFill="accent1" w:themeFillTint="66"/>
            <w:tcMar>
              <w:top w:w="0" w:type="dxa"/>
              <w:left w:w="108" w:type="dxa"/>
              <w:bottom w:w="0" w:type="dxa"/>
              <w:right w:w="108" w:type="dxa"/>
            </w:tcMar>
            <w:hideMark/>
          </w:tcPr>
          <w:p w:rsidR="00923B23" w:rsidRPr="00AC3F9D" w:rsidRDefault="00923B23" w:rsidP="00D75B6B">
            <w:pPr>
              <w:rPr>
                <w:b/>
              </w:rPr>
            </w:pPr>
            <w:r w:rsidRPr="00AC3F9D">
              <w:rPr>
                <w:b/>
              </w:rPr>
              <w:t>Interim Code Title</w:t>
            </w:r>
          </w:p>
        </w:tc>
        <w:tc>
          <w:tcPr>
            <w:tcW w:w="3267" w:type="dxa"/>
            <w:shd w:val="clear" w:color="auto" w:fill="B8CCE4" w:themeFill="accent1" w:themeFillTint="66"/>
          </w:tcPr>
          <w:p w:rsidR="00923B23" w:rsidRPr="00AC3F9D" w:rsidRDefault="00923B23" w:rsidP="00D75B6B">
            <w:pPr>
              <w:rPr>
                <w:b/>
              </w:rPr>
            </w:pPr>
            <w:r w:rsidRPr="00AC3F9D">
              <w:rPr>
                <w:b/>
              </w:rPr>
              <w:t>RV Code Title</w:t>
            </w:r>
          </w:p>
        </w:tc>
        <w:tc>
          <w:tcPr>
            <w:tcW w:w="4329" w:type="dxa"/>
            <w:shd w:val="clear" w:color="auto" w:fill="B8CCE4" w:themeFill="accent1" w:themeFillTint="66"/>
          </w:tcPr>
          <w:p w:rsidR="00923B23" w:rsidRPr="00AC3F9D" w:rsidRDefault="00923B23" w:rsidP="00D75B6B">
            <w:pPr>
              <w:rPr>
                <w:b/>
              </w:rPr>
            </w:pPr>
            <w:r w:rsidRPr="00AC3F9D">
              <w:rPr>
                <w:b/>
              </w:rPr>
              <w:t>Notes</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AC3F9D" w:rsidRDefault="00923B23" w:rsidP="00D75B6B">
            <w:pPr>
              <w:rPr>
                <w:b/>
                <w:i/>
              </w:rPr>
            </w:pPr>
            <w:r w:rsidRPr="00AC3F9D">
              <w:rPr>
                <w:b/>
                <w:i/>
              </w:rPr>
              <w:t>Division 1 - Preliminary</w:t>
            </w:r>
          </w:p>
        </w:tc>
      </w:tr>
      <w:tr w:rsidR="00923B23" w:rsidTr="00D75B6B">
        <w:tc>
          <w:tcPr>
            <w:tcW w:w="0" w:type="auto"/>
            <w:tcMar>
              <w:top w:w="0" w:type="dxa"/>
              <w:left w:w="108" w:type="dxa"/>
              <w:bottom w:w="0" w:type="dxa"/>
              <w:right w:w="108" w:type="dxa"/>
            </w:tcMar>
            <w:hideMark/>
          </w:tcPr>
          <w:p w:rsidR="00923B23" w:rsidRDefault="00923B23" w:rsidP="00D75B6B">
            <w:r>
              <w:t>1.1</w:t>
            </w:r>
          </w:p>
        </w:tc>
        <w:tc>
          <w:tcPr>
            <w:tcW w:w="0" w:type="auto"/>
            <w:tcMar>
              <w:top w:w="0" w:type="dxa"/>
              <w:left w:w="108" w:type="dxa"/>
              <w:bottom w:w="0" w:type="dxa"/>
              <w:right w:w="108" w:type="dxa"/>
            </w:tcMar>
            <w:hideMark/>
          </w:tcPr>
          <w:p w:rsidR="00923B23" w:rsidRDefault="00923B23" w:rsidP="00D75B6B">
            <w:r>
              <w:t>1</w:t>
            </w:r>
          </w:p>
        </w:tc>
        <w:tc>
          <w:tcPr>
            <w:tcW w:w="3653" w:type="dxa"/>
            <w:tcMar>
              <w:top w:w="0" w:type="dxa"/>
              <w:left w:w="108" w:type="dxa"/>
              <w:bottom w:w="0" w:type="dxa"/>
              <w:right w:w="108" w:type="dxa"/>
            </w:tcMar>
            <w:hideMark/>
          </w:tcPr>
          <w:p w:rsidR="00923B23" w:rsidRDefault="00923B23" w:rsidP="00D75B6B">
            <w:r>
              <w:t>Citation</w:t>
            </w:r>
          </w:p>
        </w:tc>
        <w:tc>
          <w:tcPr>
            <w:tcW w:w="3267" w:type="dxa"/>
          </w:tcPr>
          <w:p w:rsidR="00923B23" w:rsidRDefault="00923B23" w:rsidP="00D75B6B">
            <w:r>
              <w:t>Citation</w:t>
            </w:r>
          </w:p>
        </w:tc>
        <w:tc>
          <w:tcPr>
            <w:tcW w:w="4329" w:type="dxa"/>
          </w:tcPr>
          <w:p w:rsidR="00923B23" w:rsidRDefault="00923B23" w:rsidP="00DE6CC2">
            <w:r>
              <w:t xml:space="preserve">This clause cites the </w:t>
            </w:r>
            <w:r w:rsidR="00DE6CC2">
              <w:t xml:space="preserve">full </w:t>
            </w:r>
            <w:r>
              <w:t xml:space="preserve">title of the </w:t>
            </w:r>
            <w:r w:rsidR="00DE6CC2">
              <w:t>Interim C</w:t>
            </w:r>
            <w:r>
              <w:t xml:space="preserve">ode and the </w:t>
            </w:r>
            <w:r w:rsidR="00DE6CC2">
              <w:t>RV Code</w:t>
            </w:r>
            <w:r>
              <w:t>.</w:t>
            </w:r>
          </w:p>
        </w:tc>
      </w:tr>
      <w:tr w:rsidR="00923B23" w:rsidTr="00D75B6B">
        <w:tc>
          <w:tcPr>
            <w:tcW w:w="0" w:type="auto"/>
            <w:tcMar>
              <w:top w:w="0" w:type="dxa"/>
              <w:left w:w="108" w:type="dxa"/>
              <w:bottom w:w="0" w:type="dxa"/>
              <w:right w:w="108" w:type="dxa"/>
            </w:tcMar>
            <w:hideMark/>
          </w:tcPr>
          <w:p w:rsidR="00923B23" w:rsidRDefault="00923B23" w:rsidP="00D75B6B">
            <w:r>
              <w:t>1.2</w:t>
            </w:r>
          </w:p>
        </w:tc>
        <w:tc>
          <w:tcPr>
            <w:tcW w:w="0" w:type="auto"/>
            <w:tcMar>
              <w:top w:w="0" w:type="dxa"/>
              <w:left w:w="108" w:type="dxa"/>
              <w:bottom w:w="0" w:type="dxa"/>
              <w:right w:w="108" w:type="dxa"/>
            </w:tcMar>
            <w:hideMark/>
          </w:tcPr>
          <w:p w:rsidR="00923B23" w:rsidRDefault="00923B23" w:rsidP="00D75B6B">
            <w:r>
              <w:t>2</w:t>
            </w:r>
          </w:p>
        </w:tc>
        <w:tc>
          <w:tcPr>
            <w:tcW w:w="3653" w:type="dxa"/>
            <w:tcMar>
              <w:top w:w="0" w:type="dxa"/>
              <w:left w:w="108" w:type="dxa"/>
              <w:bottom w:w="0" w:type="dxa"/>
              <w:right w:w="108" w:type="dxa"/>
            </w:tcMar>
            <w:hideMark/>
          </w:tcPr>
          <w:p w:rsidR="00923B23" w:rsidRDefault="00923B23" w:rsidP="00D75B6B">
            <w:r>
              <w:t>Application</w:t>
            </w:r>
          </w:p>
        </w:tc>
        <w:tc>
          <w:tcPr>
            <w:tcW w:w="3267" w:type="dxa"/>
          </w:tcPr>
          <w:p w:rsidR="00923B23" w:rsidRDefault="00923B23" w:rsidP="00D75B6B">
            <w:r>
              <w:t>Application</w:t>
            </w:r>
          </w:p>
        </w:tc>
        <w:tc>
          <w:tcPr>
            <w:tcW w:w="4329" w:type="dxa"/>
          </w:tcPr>
          <w:p w:rsidR="00923B23" w:rsidRDefault="00923B23" w:rsidP="00D75B6B">
            <w:r>
              <w:t>Clause unchanged</w:t>
            </w:r>
          </w:p>
        </w:tc>
      </w:tr>
      <w:tr w:rsidR="00923B23" w:rsidTr="00D75B6B">
        <w:tc>
          <w:tcPr>
            <w:tcW w:w="0" w:type="auto"/>
            <w:tcMar>
              <w:top w:w="0" w:type="dxa"/>
              <w:left w:w="108" w:type="dxa"/>
              <w:bottom w:w="0" w:type="dxa"/>
              <w:right w:w="108" w:type="dxa"/>
            </w:tcMar>
            <w:hideMark/>
          </w:tcPr>
          <w:p w:rsidR="00923B23" w:rsidRDefault="00923B23" w:rsidP="00D75B6B">
            <w:r>
              <w:t>1.3</w:t>
            </w:r>
          </w:p>
        </w:tc>
        <w:tc>
          <w:tcPr>
            <w:tcW w:w="0" w:type="auto"/>
            <w:tcMar>
              <w:top w:w="0" w:type="dxa"/>
              <w:left w:w="108" w:type="dxa"/>
              <w:bottom w:w="0" w:type="dxa"/>
              <w:right w:w="108" w:type="dxa"/>
            </w:tcMar>
            <w:hideMark/>
          </w:tcPr>
          <w:p w:rsidR="00923B23" w:rsidRDefault="00923B23" w:rsidP="00D75B6B">
            <w:r>
              <w:t>3</w:t>
            </w:r>
          </w:p>
        </w:tc>
        <w:tc>
          <w:tcPr>
            <w:tcW w:w="3653" w:type="dxa"/>
            <w:tcMar>
              <w:top w:w="0" w:type="dxa"/>
              <w:left w:w="108" w:type="dxa"/>
              <w:bottom w:w="0" w:type="dxa"/>
              <w:right w:w="108" w:type="dxa"/>
            </w:tcMar>
            <w:hideMark/>
          </w:tcPr>
          <w:p w:rsidR="00923B23" w:rsidRDefault="00923B23" w:rsidP="00D75B6B">
            <w:r>
              <w:t>General principles</w:t>
            </w:r>
          </w:p>
        </w:tc>
        <w:tc>
          <w:tcPr>
            <w:tcW w:w="3267" w:type="dxa"/>
          </w:tcPr>
          <w:p w:rsidR="00923B23" w:rsidRDefault="00923B23" w:rsidP="00D75B6B">
            <w:r>
              <w:t>General principles</w:t>
            </w:r>
          </w:p>
        </w:tc>
        <w:tc>
          <w:tcPr>
            <w:tcW w:w="4329" w:type="dxa"/>
          </w:tcPr>
          <w:p w:rsidR="00923B23" w:rsidRDefault="00923B23" w:rsidP="00D75B6B">
            <w:r>
              <w:t>Clause unchanged</w:t>
            </w:r>
          </w:p>
        </w:tc>
      </w:tr>
      <w:tr w:rsidR="00923B23" w:rsidTr="00D75B6B">
        <w:tc>
          <w:tcPr>
            <w:tcW w:w="0" w:type="auto"/>
            <w:tcMar>
              <w:top w:w="0" w:type="dxa"/>
              <w:left w:w="108" w:type="dxa"/>
              <w:bottom w:w="0" w:type="dxa"/>
              <w:right w:w="108" w:type="dxa"/>
            </w:tcMar>
            <w:hideMark/>
          </w:tcPr>
          <w:p w:rsidR="00923B23" w:rsidRDefault="00923B23" w:rsidP="00D75B6B">
            <w:r>
              <w:t>1.4</w:t>
            </w:r>
          </w:p>
        </w:tc>
        <w:tc>
          <w:tcPr>
            <w:tcW w:w="0" w:type="auto"/>
            <w:tcMar>
              <w:top w:w="0" w:type="dxa"/>
              <w:left w:w="108" w:type="dxa"/>
              <w:bottom w:w="0" w:type="dxa"/>
              <w:right w:w="108" w:type="dxa"/>
            </w:tcMar>
            <w:hideMark/>
          </w:tcPr>
          <w:p w:rsidR="00923B23" w:rsidRDefault="00923B23" w:rsidP="00D75B6B">
            <w:r>
              <w:t>4</w:t>
            </w:r>
          </w:p>
        </w:tc>
        <w:tc>
          <w:tcPr>
            <w:tcW w:w="3653" w:type="dxa"/>
            <w:tcMar>
              <w:top w:w="0" w:type="dxa"/>
              <w:left w:w="108" w:type="dxa"/>
              <w:bottom w:w="0" w:type="dxa"/>
              <w:right w:w="108" w:type="dxa"/>
            </w:tcMar>
            <w:hideMark/>
          </w:tcPr>
          <w:p w:rsidR="00923B23" w:rsidRDefault="00923B23" w:rsidP="00D75B6B">
            <w:r>
              <w:t>Objectives</w:t>
            </w:r>
          </w:p>
        </w:tc>
        <w:tc>
          <w:tcPr>
            <w:tcW w:w="3267" w:type="dxa"/>
          </w:tcPr>
          <w:p w:rsidR="00923B23" w:rsidRDefault="00923B23" w:rsidP="00D75B6B">
            <w:r>
              <w:t>Objectives of code</w:t>
            </w:r>
          </w:p>
        </w:tc>
        <w:tc>
          <w:tcPr>
            <w:tcW w:w="4329" w:type="dxa"/>
          </w:tcPr>
          <w:p w:rsidR="00923B23" w:rsidRDefault="009D068D" w:rsidP="00DC65F9">
            <w:r>
              <w:t>Clause unchanged except word</w:t>
            </w:r>
            <w:r w:rsidR="00923B23">
              <w:t xml:space="preserve"> </w:t>
            </w:r>
            <w:r w:rsidR="00AA337D">
              <w:t>‘</w:t>
            </w:r>
            <w:r w:rsidR="00923B23">
              <w:t>effective</w:t>
            </w:r>
            <w:r w:rsidR="00AA337D">
              <w:t>’</w:t>
            </w:r>
            <w:r w:rsidR="00923B23">
              <w:t xml:space="preserve"> consultation as a new objective</w:t>
            </w:r>
            <w:r w:rsidR="00DE6CC2">
              <w:t xml:space="preserve"> of the code</w:t>
            </w:r>
            <w:r>
              <w:t xml:space="preserve"> inserted</w:t>
            </w:r>
            <w:r w:rsidR="00DE6CC2">
              <w:t>.</w:t>
            </w:r>
            <w:r>
              <w:t xml:space="preserve"> </w:t>
            </w:r>
            <w:r w:rsidR="00DC65F9">
              <w:t>(</w:t>
            </w:r>
            <w:r>
              <w:t>Final Report (FR) recs. 61 &amp; 62</w:t>
            </w:r>
            <w:r w:rsidR="00DC65F9">
              <w:t>)</w:t>
            </w:r>
          </w:p>
        </w:tc>
      </w:tr>
      <w:tr w:rsidR="00923B23" w:rsidTr="00D75B6B">
        <w:tc>
          <w:tcPr>
            <w:tcW w:w="0" w:type="auto"/>
            <w:tcMar>
              <w:top w:w="0" w:type="dxa"/>
              <w:left w:w="108" w:type="dxa"/>
              <w:bottom w:w="0" w:type="dxa"/>
              <w:right w:w="108" w:type="dxa"/>
            </w:tcMar>
            <w:hideMark/>
          </w:tcPr>
          <w:p w:rsidR="00923B23" w:rsidRDefault="00923B23" w:rsidP="00D75B6B">
            <w:r>
              <w:t>1.5</w:t>
            </w:r>
          </w:p>
        </w:tc>
        <w:tc>
          <w:tcPr>
            <w:tcW w:w="0" w:type="auto"/>
            <w:tcMar>
              <w:top w:w="0" w:type="dxa"/>
              <w:left w:w="108" w:type="dxa"/>
              <w:bottom w:w="0" w:type="dxa"/>
              <w:right w:w="108" w:type="dxa"/>
            </w:tcMar>
            <w:hideMark/>
          </w:tcPr>
          <w:p w:rsidR="00923B23" w:rsidRDefault="00923B23" w:rsidP="00D75B6B">
            <w:r>
              <w:t>5</w:t>
            </w:r>
          </w:p>
        </w:tc>
        <w:tc>
          <w:tcPr>
            <w:tcW w:w="3653" w:type="dxa"/>
            <w:tcMar>
              <w:top w:w="0" w:type="dxa"/>
              <w:left w:w="108" w:type="dxa"/>
              <w:bottom w:w="0" w:type="dxa"/>
              <w:right w:w="108" w:type="dxa"/>
            </w:tcMar>
            <w:hideMark/>
          </w:tcPr>
          <w:p w:rsidR="00923B23" w:rsidRDefault="00923B23" w:rsidP="00D75B6B">
            <w:r>
              <w:t>Resident’s basic rights</w:t>
            </w:r>
          </w:p>
        </w:tc>
        <w:tc>
          <w:tcPr>
            <w:tcW w:w="3267" w:type="dxa"/>
          </w:tcPr>
          <w:p w:rsidR="00923B23" w:rsidRDefault="00923B23" w:rsidP="00D75B6B">
            <w:r>
              <w:t>Resident’s rights</w:t>
            </w:r>
          </w:p>
        </w:tc>
        <w:tc>
          <w:tcPr>
            <w:tcW w:w="4329" w:type="dxa"/>
          </w:tcPr>
          <w:p w:rsidR="00923B23" w:rsidRDefault="00923B23" w:rsidP="00D75B6B">
            <w:r>
              <w:t>Clause unchanged</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69173D" w:rsidRDefault="00923B23" w:rsidP="00D75B6B">
            <w:pPr>
              <w:rPr>
                <w:b/>
                <w:i/>
              </w:rPr>
            </w:pPr>
            <w:r w:rsidRPr="0069173D">
              <w:rPr>
                <w:b/>
                <w:i/>
              </w:rPr>
              <w:t>Division 2 – Advertising and  promotion of retirement villages</w:t>
            </w:r>
          </w:p>
        </w:tc>
      </w:tr>
      <w:tr w:rsidR="00923B23" w:rsidTr="00D75B6B">
        <w:tc>
          <w:tcPr>
            <w:tcW w:w="0" w:type="auto"/>
            <w:tcMar>
              <w:top w:w="0" w:type="dxa"/>
              <w:left w:w="108" w:type="dxa"/>
              <w:bottom w:w="0" w:type="dxa"/>
              <w:right w:w="108" w:type="dxa"/>
            </w:tcMar>
            <w:hideMark/>
          </w:tcPr>
          <w:p w:rsidR="00923B23" w:rsidRDefault="00923B23" w:rsidP="00D75B6B">
            <w:r>
              <w:t>2.1</w:t>
            </w:r>
          </w:p>
        </w:tc>
        <w:tc>
          <w:tcPr>
            <w:tcW w:w="0" w:type="auto"/>
            <w:tcMar>
              <w:top w:w="0" w:type="dxa"/>
              <w:left w:w="108" w:type="dxa"/>
              <w:bottom w:w="0" w:type="dxa"/>
              <w:right w:w="108" w:type="dxa"/>
            </w:tcMar>
            <w:hideMark/>
          </w:tcPr>
          <w:p w:rsidR="00923B23" w:rsidRDefault="00923B23" w:rsidP="00D75B6B">
            <w:r>
              <w:t>6</w:t>
            </w:r>
          </w:p>
        </w:tc>
        <w:tc>
          <w:tcPr>
            <w:tcW w:w="3653" w:type="dxa"/>
            <w:tcMar>
              <w:top w:w="0" w:type="dxa"/>
              <w:left w:w="108" w:type="dxa"/>
              <w:bottom w:w="0" w:type="dxa"/>
              <w:right w:w="108" w:type="dxa"/>
            </w:tcMar>
            <w:hideMark/>
          </w:tcPr>
          <w:p w:rsidR="00923B23" w:rsidRDefault="00923B23" w:rsidP="00D75B6B">
            <w:r>
              <w:t>General</w:t>
            </w:r>
          </w:p>
        </w:tc>
        <w:tc>
          <w:tcPr>
            <w:tcW w:w="3267" w:type="dxa"/>
          </w:tcPr>
          <w:p w:rsidR="00923B23" w:rsidRDefault="00923B23" w:rsidP="00D75B6B">
            <w:r>
              <w:t>General</w:t>
            </w:r>
          </w:p>
        </w:tc>
        <w:tc>
          <w:tcPr>
            <w:tcW w:w="4329" w:type="dxa"/>
          </w:tcPr>
          <w:p w:rsidR="00923B23" w:rsidRDefault="00923B23" w:rsidP="00D75B6B">
            <w:r>
              <w:t>Clause unchanged</w:t>
            </w:r>
          </w:p>
        </w:tc>
      </w:tr>
      <w:tr w:rsidR="00923B23" w:rsidTr="00D75B6B">
        <w:tc>
          <w:tcPr>
            <w:tcW w:w="0" w:type="auto"/>
            <w:tcMar>
              <w:top w:w="0" w:type="dxa"/>
              <w:left w:w="108" w:type="dxa"/>
              <w:bottom w:w="0" w:type="dxa"/>
              <w:right w:w="108" w:type="dxa"/>
            </w:tcMar>
            <w:hideMark/>
          </w:tcPr>
          <w:p w:rsidR="00923B23" w:rsidRDefault="00923B23" w:rsidP="00D75B6B">
            <w:r>
              <w:t>2.2</w:t>
            </w:r>
          </w:p>
        </w:tc>
        <w:tc>
          <w:tcPr>
            <w:tcW w:w="0" w:type="auto"/>
            <w:tcMar>
              <w:top w:w="0" w:type="dxa"/>
              <w:left w:w="108" w:type="dxa"/>
              <w:bottom w:w="0" w:type="dxa"/>
              <w:right w:w="108" w:type="dxa"/>
            </w:tcMar>
            <w:hideMark/>
          </w:tcPr>
          <w:p w:rsidR="00923B23" w:rsidRDefault="00923B23" w:rsidP="00D75B6B">
            <w:r>
              <w:t>7</w:t>
            </w:r>
          </w:p>
        </w:tc>
        <w:tc>
          <w:tcPr>
            <w:tcW w:w="3653" w:type="dxa"/>
            <w:tcMar>
              <w:top w:w="0" w:type="dxa"/>
              <w:left w:w="108" w:type="dxa"/>
              <w:bottom w:w="0" w:type="dxa"/>
              <w:right w:w="108" w:type="dxa"/>
            </w:tcMar>
            <w:hideMark/>
          </w:tcPr>
          <w:p w:rsidR="00923B23" w:rsidRDefault="00923B23" w:rsidP="00D75B6B">
            <w:r>
              <w:t>Retirement village developments</w:t>
            </w:r>
          </w:p>
        </w:tc>
        <w:tc>
          <w:tcPr>
            <w:tcW w:w="3267" w:type="dxa"/>
          </w:tcPr>
          <w:p w:rsidR="00923B23" w:rsidRDefault="00923B23" w:rsidP="00D75B6B">
            <w:r>
              <w:t>Retirement village developments</w:t>
            </w:r>
          </w:p>
        </w:tc>
        <w:tc>
          <w:tcPr>
            <w:tcW w:w="4329" w:type="dxa"/>
          </w:tcPr>
          <w:p w:rsidR="00923B23" w:rsidRDefault="00923B23" w:rsidP="00D75B6B">
            <w:r>
              <w:t>Clause unchanged</w:t>
            </w:r>
          </w:p>
        </w:tc>
      </w:tr>
      <w:tr w:rsidR="00923B23" w:rsidTr="00D75B6B">
        <w:tc>
          <w:tcPr>
            <w:tcW w:w="0" w:type="auto"/>
            <w:tcMar>
              <w:top w:w="0" w:type="dxa"/>
              <w:left w:w="108" w:type="dxa"/>
              <w:bottom w:w="0" w:type="dxa"/>
              <w:right w:w="108" w:type="dxa"/>
            </w:tcMar>
            <w:hideMark/>
          </w:tcPr>
          <w:p w:rsidR="00923B23" w:rsidRDefault="00923B23" w:rsidP="00D75B6B">
            <w:r>
              <w:t>2.3</w:t>
            </w:r>
          </w:p>
        </w:tc>
        <w:tc>
          <w:tcPr>
            <w:tcW w:w="0" w:type="auto"/>
            <w:tcMar>
              <w:top w:w="0" w:type="dxa"/>
              <w:left w:w="108" w:type="dxa"/>
              <w:bottom w:w="0" w:type="dxa"/>
              <w:right w:w="108" w:type="dxa"/>
            </w:tcMar>
            <w:hideMark/>
          </w:tcPr>
          <w:p w:rsidR="00923B23" w:rsidRDefault="00923B23" w:rsidP="00D75B6B">
            <w:r>
              <w:t>8</w:t>
            </w:r>
          </w:p>
        </w:tc>
        <w:tc>
          <w:tcPr>
            <w:tcW w:w="3653" w:type="dxa"/>
            <w:tcMar>
              <w:top w:w="0" w:type="dxa"/>
              <w:left w:w="108" w:type="dxa"/>
              <w:bottom w:w="0" w:type="dxa"/>
              <w:right w:w="108" w:type="dxa"/>
            </w:tcMar>
            <w:hideMark/>
          </w:tcPr>
          <w:p w:rsidR="00923B23" w:rsidRDefault="00923B23" w:rsidP="00D75B6B">
            <w:r>
              <w:t>Proposed amenities and services</w:t>
            </w:r>
          </w:p>
        </w:tc>
        <w:tc>
          <w:tcPr>
            <w:tcW w:w="3267" w:type="dxa"/>
          </w:tcPr>
          <w:p w:rsidR="00923B23" w:rsidRDefault="00923B23" w:rsidP="00D75B6B">
            <w:r>
              <w:t>Proposed amenities and services</w:t>
            </w:r>
          </w:p>
        </w:tc>
        <w:tc>
          <w:tcPr>
            <w:tcW w:w="4329" w:type="dxa"/>
          </w:tcPr>
          <w:p w:rsidR="00923B23" w:rsidRDefault="00923B23" w:rsidP="000C6587">
            <w:r>
              <w:t>Clause unchanged</w:t>
            </w:r>
            <w:r w:rsidR="000C6587">
              <w:t>. Equivalent provisions for personal amenities and communal amenities also inserted in RV Regulations – Reg. 7B, Table items 1Reg.7C</w:t>
            </w:r>
            <w:r w:rsidR="000C6587">
              <w:rPr>
                <w:rStyle w:val="FootnoteReference"/>
              </w:rPr>
              <w:footnoteReference w:id="1"/>
            </w:r>
            <w:r w:rsidR="000C6587">
              <w:t>, Table items 1 &amp; 3</w:t>
            </w:r>
          </w:p>
        </w:tc>
      </w:tr>
      <w:tr w:rsidR="00923B23" w:rsidTr="00D75B6B">
        <w:tc>
          <w:tcPr>
            <w:tcW w:w="0" w:type="auto"/>
            <w:tcMar>
              <w:top w:w="0" w:type="dxa"/>
              <w:left w:w="108" w:type="dxa"/>
              <w:bottom w:w="0" w:type="dxa"/>
              <w:right w:w="108" w:type="dxa"/>
            </w:tcMar>
            <w:hideMark/>
          </w:tcPr>
          <w:p w:rsidR="00923B23" w:rsidRDefault="00923B23" w:rsidP="00D75B6B">
            <w:r>
              <w:t>2.4</w:t>
            </w:r>
          </w:p>
        </w:tc>
        <w:tc>
          <w:tcPr>
            <w:tcW w:w="0" w:type="auto"/>
            <w:tcMar>
              <w:top w:w="0" w:type="dxa"/>
              <w:left w:w="108" w:type="dxa"/>
              <w:bottom w:w="0" w:type="dxa"/>
              <w:right w:w="108" w:type="dxa"/>
            </w:tcMar>
            <w:hideMark/>
          </w:tcPr>
          <w:p w:rsidR="00923B23" w:rsidRDefault="00923B23" w:rsidP="00D75B6B">
            <w:r>
              <w:t>9</w:t>
            </w:r>
          </w:p>
        </w:tc>
        <w:tc>
          <w:tcPr>
            <w:tcW w:w="3653" w:type="dxa"/>
            <w:tcMar>
              <w:top w:w="0" w:type="dxa"/>
              <w:left w:w="108" w:type="dxa"/>
              <w:bottom w:w="0" w:type="dxa"/>
              <w:right w:w="108" w:type="dxa"/>
            </w:tcMar>
            <w:hideMark/>
          </w:tcPr>
          <w:p w:rsidR="00923B23" w:rsidRDefault="00923B23" w:rsidP="00D75B6B">
            <w:r>
              <w:t>Approvals for facilities that provide residential aged care services</w:t>
            </w:r>
          </w:p>
        </w:tc>
        <w:tc>
          <w:tcPr>
            <w:tcW w:w="3267" w:type="dxa"/>
          </w:tcPr>
          <w:p w:rsidR="00923B23" w:rsidRDefault="00923B23" w:rsidP="00D75B6B">
            <w:r>
              <w:t>Approvals for facilities that provide residential aged care services</w:t>
            </w:r>
          </w:p>
        </w:tc>
        <w:tc>
          <w:tcPr>
            <w:tcW w:w="4329" w:type="dxa"/>
          </w:tcPr>
          <w:p w:rsidR="00923B23" w:rsidRDefault="00923B23" w:rsidP="000C6587">
            <w:r>
              <w:t>Clause unchanged</w:t>
            </w:r>
          </w:p>
        </w:tc>
      </w:tr>
      <w:tr w:rsidR="00923B23" w:rsidTr="00D75B6B">
        <w:tc>
          <w:tcPr>
            <w:tcW w:w="0" w:type="auto"/>
            <w:tcMar>
              <w:top w:w="0" w:type="dxa"/>
              <w:left w:w="108" w:type="dxa"/>
              <w:bottom w:w="0" w:type="dxa"/>
              <w:right w:w="108" w:type="dxa"/>
            </w:tcMar>
            <w:hideMark/>
          </w:tcPr>
          <w:p w:rsidR="00923B23" w:rsidRDefault="00923B23" w:rsidP="00D75B6B">
            <w:r>
              <w:t>2.5</w:t>
            </w:r>
          </w:p>
        </w:tc>
        <w:tc>
          <w:tcPr>
            <w:tcW w:w="0" w:type="auto"/>
            <w:tcMar>
              <w:top w:w="0" w:type="dxa"/>
              <w:left w:w="108" w:type="dxa"/>
              <w:bottom w:w="0" w:type="dxa"/>
              <w:right w:w="108" w:type="dxa"/>
            </w:tcMar>
            <w:hideMark/>
          </w:tcPr>
          <w:p w:rsidR="00923B23" w:rsidRDefault="00923B23" w:rsidP="00D75B6B">
            <w:r>
              <w:t>10</w:t>
            </w:r>
          </w:p>
        </w:tc>
        <w:tc>
          <w:tcPr>
            <w:tcW w:w="3653" w:type="dxa"/>
            <w:tcMar>
              <w:top w:w="0" w:type="dxa"/>
              <w:left w:w="108" w:type="dxa"/>
              <w:bottom w:w="0" w:type="dxa"/>
              <w:right w:w="108" w:type="dxa"/>
            </w:tcMar>
            <w:hideMark/>
          </w:tcPr>
          <w:p w:rsidR="00923B23" w:rsidRDefault="00923B23" w:rsidP="00D75B6B">
            <w:r>
              <w:t>Access to residential aged care services</w:t>
            </w:r>
          </w:p>
        </w:tc>
        <w:tc>
          <w:tcPr>
            <w:tcW w:w="3267" w:type="dxa"/>
          </w:tcPr>
          <w:p w:rsidR="00923B23" w:rsidRDefault="00923B23" w:rsidP="00D75B6B">
            <w:r>
              <w:t>Access to residential aged care services</w:t>
            </w:r>
          </w:p>
        </w:tc>
        <w:tc>
          <w:tcPr>
            <w:tcW w:w="4329" w:type="dxa"/>
          </w:tcPr>
          <w:p w:rsidR="00923B23" w:rsidRDefault="00DE6CC2" w:rsidP="00DC65F9">
            <w:r>
              <w:t>The s</w:t>
            </w:r>
            <w:r w:rsidR="00923B23">
              <w:t xml:space="preserve">tatement on the terms of access to residential aged care services </w:t>
            </w:r>
            <w:r>
              <w:t xml:space="preserve">has been </w:t>
            </w:r>
            <w:r w:rsidR="00923B23">
              <w:t>revised and moved to RV Regulations at Schedule 2 Item 1.</w:t>
            </w:r>
            <w:r w:rsidR="009D068D">
              <w:t xml:space="preserve"> </w:t>
            </w:r>
            <w:r w:rsidR="00DC65F9">
              <w:t>(</w:t>
            </w:r>
            <w:r w:rsidR="009D068D">
              <w:t>FR rec. 4</w:t>
            </w:r>
            <w:r w:rsidR="00DC65F9">
              <w:t>,</w:t>
            </w:r>
            <w:r w:rsidR="009D068D">
              <w:t xml:space="preserve"> 1</w:t>
            </w:r>
            <w:r w:rsidR="009D068D" w:rsidRPr="009D068D">
              <w:rPr>
                <w:vertAlign w:val="superscript"/>
              </w:rPr>
              <w:t>st</w:t>
            </w:r>
            <w:r w:rsidR="009D068D">
              <w:t xml:space="preserve"> dot point</w:t>
            </w:r>
            <w:r w:rsidR="00DC65F9">
              <w:t>)</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69173D" w:rsidRDefault="00923B23" w:rsidP="00D75B6B">
            <w:pPr>
              <w:rPr>
                <w:b/>
                <w:i/>
              </w:rPr>
            </w:pPr>
            <w:r w:rsidRPr="0069173D">
              <w:rPr>
                <w:b/>
                <w:i/>
              </w:rPr>
              <w:t>Divisions 3 – Prospective resident’s right before entering into a (residence or) service contract</w:t>
            </w:r>
          </w:p>
        </w:tc>
      </w:tr>
      <w:tr w:rsidR="00923B23" w:rsidTr="00D75B6B">
        <w:tc>
          <w:tcPr>
            <w:tcW w:w="0" w:type="auto"/>
            <w:tcMar>
              <w:top w:w="0" w:type="dxa"/>
              <w:left w:w="108" w:type="dxa"/>
              <w:bottom w:w="0" w:type="dxa"/>
              <w:right w:w="108" w:type="dxa"/>
            </w:tcMar>
          </w:tcPr>
          <w:p w:rsidR="00923B23" w:rsidRDefault="00923B23" w:rsidP="00D75B6B">
            <w:r>
              <w:t>3.1</w:t>
            </w:r>
          </w:p>
        </w:tc>
        <w:tc>
          <w:tcPr>
            <w:tcW w:w="0" w:type="auto"/>
            <w:tcMar>
              <w:top w:w="0" w:type="dxa"/>
              <w:left w:w="108" w:type="dxa"/>
              <w:bottom w:w="0" w:type="dxa"/>
              <w:right w:w="108" w:type="dxa"/>
            </w:tcMar>
          </w:tcPr>
          <w:p w:rsidR="00923B23" w:rsidRDefault="00923B23" w:rsidP="00D75B6B">
            <w:r>
              <w:t>N/A</w:t>
            </w:r>
          </w:p>
        </w:tc>
        <w:tc>
          <w:tcPr>
            <w:tcW w:w="3653" w:type="dxa"/>
            <w:tcMar>
              <w:top w:w="0" w:type="dxa"/>
              <w:left w:w="108" w:type="dxa"/>
              <w:bottom w:w="0" w:type="dxa"/>
              <w:right w:w="108" w:type="dxa"/>
            </w:tcMar>
          </w:tcPr>
          <w:p w:rsidR="00923B23" w:rsidRDefault="00923B23" w:rsidP="00D75B6B">
            <w:r>
              <w:t>Before entering into a residence contract</w:t>
            </w:r>
          </w:p>
        </w:tc>
        <w:tc>
          <w:tcPr>
            <w:tcW w:w="3267" w:type="dxa"/>
          </w:tcPr>
          <w:p w:rsidR="00923B23" w:rsidRDefault="00923B23" w:rsidP="00D75B6B">
            <w:r>
              <w:t>Repealed</w:t>
            </w:r>
            <w:r w:rsidR="000154B7">
              <w:t xml:space="preserve"> from Code transferred to RV Regs.</w:t>
            </w:r>
          </w:p>
        </w:tc>
        <w:tc>
          <w:tcPr>
            <w:tcW w:w="4329" w:type="dxa"/>
          </w:tcPr>
          <w:p w:rsidR="00923B23" w:rsidRDefault="0016107A" w:rsidP="0016107A">
            <w:r>
              <w:t xml:space="preserve">Clause largely unchanged – reference to reserve fund budget and audited financial statements inserted, RV Regulations </w:t>
            </w:r>
            <w:r w:rsidR="000154B7">
              <w:t>Reg. 6</w:t>
            </w:r>
            <w:r w:rsidR="000154B7">
              <w:rPr>
                <w:rStyle w:val="FootnoteReference"/>
              </w:rPr>
              <w:footnoteReference w:id="2"/>
            </w:r>
          </w:p>
        </w:tc>
      </w:tr>
      <w:tr w:rsidR="00923B23" w:rsidTr="00D75B6B">
        <w:tc>
          <w:tcPr>
            <w:tcW w:w="0" w:type="auto"/>
            <w:tcMar>
              <w:top w:w="0" w:type="dxa"/>
              <w:left w:w="108" w:type="dxa"/>
              <w:bottom w:w="0" w:type="dxa"/>
              <w:right w:w="108" w:type="dxa"/>
            </w:tcMar>
            <w:hideMark/>
          </w:tcPr>
          <w:p w:rsidR="00923B23" w:rsidRDefault="00923B23" w:rsidP="00D75B6B">
            <w:r>
              <w:t>3.2</w:t>
            </w:r>
          </w:p>
        </w:tc>
        <w:tc>
          <w:tcPr>
            <w:tcW w:w="0" w:type="auto"/>
            <w:tcMar>
              <w:top w:w="0" w:type="dxa"/>
              <w:left w:w="108" w:type="dxa"/>
              <w:bottom w:w="0" w:type="dxa"/>
              <w:right w:w="108" w:type="dxa"/>
            </w:tcMar>
            <w:hideMark/>
          </w:tcPr>
          <w:p w:rsidR="00923B23" w:rsidRDefault="00923B23" w:rsidP="00D75B6B">
            <w:r>
              <w:t>11</w:t>
            </w:r>
          </w:p>
        </w:tc>
        <w:tc>
          <w:tcPr>
            <w:tcW w:w="3653" w:type="dxa"/>
            <w:tcMar>
              <w:top w:w="0" w:type="dxa"/>
              <w:left w:w="108" w:type="dxa"/>
              <w:bottom w:w="0" w:type="dxa"/>
              <w:right w:w="108" w:type="dxa"/>
            </w:tcMar>
            <w:hideMark/>
          </w:tcPr>
          <w:p w:rsidR="00923B23" w:rsidRDefault="00923B23" w:rsidP="00D75B6B">
            <w:r>
              <w:t>Before entering into a service contract</w:t>
            </w:r>
          </w:p>
        </w:tc>
        <w:tc>
          <w:tcPr>
            <w:tcW w:w="3267" w:type="dxa"/>
          </w:tcPr>
          <w:p w:rsidR="00923B23" w:rsidRDefault="00923B23" w:rsidP="00D75B6B">
            <w:r>
              <w:t>Before entering into a service contract</w:t>
            </w:r>
          </w:p>
        </w:tc>
        <w:tc>
          <w:tcPr>
            <w:tcW w:w="4329" w:type="dxa"/>
          </w:tcPr>
          <w:p w:rsidR="00923B23" w:rsidRDefault="00923B23" w:rsidP="0016107A">
            <w:r>
              <w:t>Clause unchanged</w:t>
            </w:r>
            <w:r w:rsidR="00DE6CC2">
              <w:t>,</w:t>
            </w:r>
            <w:r>
              <w:t xml:space="preserve"> except that </w:t>
            </w:r>
            <w:r w:rsidR="00351263">
              <w:t>for consistency with timeframes in RV Act</w:t>
            </w:r>
            <w:r w:rsidR="00DE3F08">
              <w:t xml:space="preserve"> i.e. 5 </w:t>
            </w:r>
            <w:r w:rsidR="0016107A">
              <w:t xml:space="preserve">working </w:t>
            </w:r>
            <w:r w:rsidR="00DE3F08">
              <w:t>days has changed to</w:t>
            </w:r>
            <w:r>
              <w:t xml:space="preserve"> 10 </w:t>
            </w:r>
            <w:r w:rsidR="005326B0">
              <w:t xml:space="preserve">working </w:t>
            </w:r>
            <w:r>
              <w:t xml:space="preserve">days </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69173D" w:rsidRDefault="002B6A0B" w:rsidP="00D75B6B">
            <w:pPr>
              <w:rPr>
                <w:b/>
                <w:i/>
              </w:rPr>
            </w:pPr>
            <w:r>
              <w:rPr>
                <w:b/>
                <w:i/>
              </w:rPr>
              <w:lastRenderedPageBreak/>
              <w:t xml:space="preserve">Division 4 – Residence contract and </w:t>
            </w:r>
            <w:r w:rsidR="00923B23" w:rsidRPr="0069173D">
              <w:rPr>
                <w:b/>
                <w:i/>
              </w:rPr>
              <w:t>Service contract</w:t>
            </w:r>
          </w:p>
        </w:tc>
      </w:tr>
      <w:tr w:rsidR="00923B23" w:rsidTr="00D75B6B">
        <w:tc>
          <w:tcPr>
            <w:tcW w:w="0" w:type="auto"/>
            <w:tcMar>
              <w:top w:w="0" w:type="dxa"/>
              <w:left w:w="108" w:type="dxa"/>
              <w:bottom w:w="0" w:type="dxa"/>
              <w:right w:w="108" w:type="dxa"/>
            </w:tcMar>
            <w:hideMark/>
          </w:tcPr>
          <w:p w:rsidR="00923B23" w:rsidRDefault="00923B23" w:rsidP="00D75B6B">
            <w:r>
              <w:t>4.1</w:t>
            </w:r>
          </w:p>
        </w:tc>
        <w:tc>
          <w:tcPr>
            <w:tcW w:w="0" w:type="auto"/>
            <w:tcMar>
              <w:top w:w="0" w:type="dxa"/>
              <w:left w:w="108" w:type="dxa"/>
              <w:bottom w:w="0" w:type="dxa"/>
              <w:right w:w="108" w:type="dxa"/>
            </w:tcMar>
            <w:hideMark/>
          </w:tcPr>
          <w:p w:rsidR="00923B23" w:rsidRDefault="00923B23" w:rsidP="00D75B6B">
            <w:r>
              <w:t>12</w:t>
            </w:r>
          </w:p>
        </w:tc>
        <w:tc>
          <w:tcPr>
            <w:tcW w:w="3653" w:type="dxa"/>
            <w:tcMar>
              <w:top w:w="0" w:type="dxa"/>
              <w:left w:w="108" w:type="dxa"/>
              <w:bottom w:w="0" w:type="dxa"/>
              <w:right w:w="108" w:type="dxa"/>
            </w:tcMar>
            <w:hideMark/>
          </w:tcPr>
          <w:p w:rsidR="00923B23" w:rsidRDefault="00923B23" w:rsidP="00D75B6B">
            <w:r>
              <w:t>Legibility and presentation requirements</w:t>
            </w:r>
          </w:p>
        </w:tc>
        <w:tc>
          <w:tcPr>
            <w:tcW w:w="3267" w:type="dxa"/>
          </w:tcPr>
          <w:p w:rsidR="00923B23" w:rsidRDefault="00923B23" w:rsidP="00D75B6B">
            <w:r>
              <w:t>Legibility and presentation requirements</w:t>
            </w:r>
          </w:p>
        </w:tc>
        <w:tc>
          <w:tcPr>
            <w:tcW w:w="4329" w:type="dxa"/>
          </w:tcPr>
          <w:p w:rsidR="00923B23" w:rsidRDefault="00351263" w:rsidP="00BA5D32">
            <w:r>
              <w:t xml:space="preserve">Clause unchanged except that references to residence contract </w:t>
            </w:r>
            <w:r w:rsidR="000967E4">
              <w:t xml:space="preserve">have </w:t>
            </w:r>
            <w:r>
              <w:t>been removed because now in RV Regs (</w:t>
            </w:r>
            <w:r w:rsidR="006C3526">
              <w:t>see Reg.</w:t>
            </w:r>
            <w:r>
              <w:t>4B</w:t>
            </w:r>
            <w:r w:rsidR="00831B73">
              <w:rPr>
                <w:rStyle w:val="FootnoteReference"/>
              </w:rPr>
              <w:footnoteReference w:id="3"/>
            </w:r>
            <w:r>
              <w:t>)</w:t>
            </w:r>
          </w:p>
        </w:tc>
      </w:tr>
      <w:tr w:rsidR="00923B23" w:rsidTr="00D75B6B">
        <w:tc>
          <w:tcPr>
            <w:tcW w:w="0" w:type="auto"/>
            <w:tcMar>
              <w:top w:w="0" w:type="dxa"/>
              <w:left w:w="108" w:type="dxa"/>
              <w:bottom w:w="0" w:type="dxa"/>
              <w:right w:w="108" w:type="dxa"/>
            </w:tcMar>
            <w:hideMark/>
          </w:tcPr>
          <w:p w:rsidR="00923B23" w:rsidRDefault="00923B23" w:rsidP="00D75B6B">
            <w:r>
              <w:t>4.2</w:t>
            </w:r>
          </w:p>
        </w:tc>
        <w:tc>
          <w:tcPr>
            <w:tcW w:w="0" w:type="auto"/>
            <w:tcMar>
              <w:top w:w="0" w:type="dxa"/>
              <w:left w:w="108" w:type="dxa"/>
              <w:bottom w:w="0" w:type="dxa"/>
              <w:right w:w="108" w:type="dxa"/>
            </w:tcMar>
            <w:hideMark/>
          </w:tcPr>
          <w:p w:rsidR="00923B23" w:rsidRDefault="00923B23" w:rsidP="00D75B6B">
            <w:r w:rsidRPr="00D170E5">
              <w:t>n/a</w:t>
            </w:r>
          </w:p>
        </w:tc>
        <w:tc>
          <w:tcPr>
            <w:tcW w:w="3653" w:type="dxa"/>
            <w:tcMar>
              <w:top w:w="0" w:type="dxa"/>
              <w:left w:w="108" w:type="dxa"/>
              <w:bottom w:w="0" w:type="dxa"/>
              <w:right w:w="108" w:type="dxa"/>
            </w:tcMar>
            <w:hideMark/>
          </w:tcPr>
          <w:p w:rsidR="00923B23" w:rsidRDefault="00D36152" w:rsidP="00D75B6B">
            <w:r>
              <w:t>Title and t</w:t>
            </w:r>
            <w:r w:rsidR="00923B23">
              <w:t>enure</w:t>
            </w:r>
          </w:p>
        </w:tc>
        <w:tc>
          <w:tcPr>
            <w:tcW w:w="3267" w:type="dxa"/>
          </w:tcPr>
          <w:p w:rsidR="00923B23" w:rsidRDefault="00862F13" w:rsidP="006F577F">
            <w:r>
              <w:t xml:space="preserve">Repealed from Code </w:t>
            </w:r>
            <w:r w:rsidR="00D36152">
              <w:t xml:space="preserve">and </w:t>
            </w:r>
            <w:r w:rsidR="004A56DC">
              <w:t>transferred to</w:t>
            </w:r>
            <w:r>
              <w:t xml:space="preserve"> RV Regs.</w:t>
            </w:r>
            <w:r w:rsidR="00923B23">
              <w:t xml:space="preserve"> </w:t>
            </w:r>
          </w:p>
        </w:tc>
        <w:tc>
          <w:tcPr>
            <w:tcW w:w="4329" w:type="dxa"/>
          </w:tcPr>
          <w:p w:rsidR="00923B23" w:rsidRDefault="006F577F" w:rsidP="006F577F">
            <w:r>
              <w:t>Reg</w:t>
            </w:r>
            <w:r w:rsidR="00351263">
              <w:t>.7A</w:t>
            </w:r>
            <w:r>
              <w:rPr>
                <w:rStyle w:val="FootnoteReference"/>
              </w:rPr>
              <w:footnoteReference w:id="4"/>
            </w:r>
            <w:r>
              <w:t xml:space="preserve">, </w:t>
            </w:r>
            <w:r w:rsidR="00351263">
              <w:t>Table items 7 &amp; 8</w:t>
            </w:r>
          </w:p>
        </w:tc>
      </w:tr>
      <w:tr w:rsidR="005326B0" w:rsidTr="00D75B6B">
        <w:tc>
          <w:tcPr>
            <w:tcW w:w="0" w:type="auto"/>
            <w:tcMar>
              <w:top w:w="0" w:type="dxa"/>
              <w:left w:w="108" w:type="dxa"/>
              <w:bottom w:w="0" w:type="dxa"/>
              <w:right w:w="108" w:type="dxa"/>
            </w:tcMar>
          </w:tcPr>
          <w:p w:rsidR="005326B0" w:rsidRDefault="005326B0" w:rsidP="00D75B6B">
            <w:r>
              <w:t>4.3</w:t>
            </w:r>
          </w:p>
        </w:tc>
        <w:tc>
          <w:tcPr>
            <w:tcW w:w="0" w:type="auto"/>
            <w:tcMar>
              <w:top w:w="0" w:type="dxa"/>
              <w:left w:w="108" w:type="dxa"/>
              <w:bottom w:w="0" w:type="dxa"/>
              <w:right w:w="108" w:type="dxa"/>
            </w:tcMar>
          </w:tcPr>
          <w:p w:rsidR="005326B0" w:rsidRDefault="005326B0" w:rsidP="00D75B6B">
            <w:r w:rsidRPr="00D170E5">
              <w:t>n/a</w:t>
            </w:r>
          </w:p>
        </w:tc>
        <w:tc>
          <w:tcPr>
            <w:tcW w:w="3653" w:type="dxa"/>
            <w:tcMar>
              <w:top w:w="0" w:type="dxa"/>
              <w:left w:w="108" w:type="dxa"/>
              <w:bottom w:w="0" w:type="dxa"/>
              <w:right w:w="108" w:type="dxa"/>
            </w:tcMar>
          </w:tcPr>
          <w:p w:rsidR="005326B0" w:rsidRDefault="005326B0" w:rsidP="00D75B6B">
            <w:r>
              <w:t>Residential premises</w:t>
            </w:r>
          </w:p>
        </w:tc>
        <w:tc>
          <w:tcPr>
            <w:tcW w:w="3267" w:type="dxa"/>
          </w:tcPr>
          <w:p w:rsidR="005326B0" w:rsidRDefault="00862F13" w:rsidP="004A56DC">
            <w:r>
              <w:t xml:space="preserve">Repealed from Code </w:t>
            </w:r>
            <w:r w:rsidR="00D36152">
              <w:t xml:space="preserve">and </w:t>
            </w:r>
            <w:r w:rsidR="004A56DC">
              <w:t xml:space="preserve">transferred to </w:t>
            </w:r>
            <w:r>
              <w:t>RV Regs.</w:t>
            </w:r>
          </w:p>
        </w:tc>
        <w:tc>
          <w:tcPr>
            <w:tcW w:w="4329" w:type="dxa"/>
          </w:tcPr>
          <w:p w:rsidR="005326B0" w:rsidRDefault="005326B0" w:rsidP="00831B73">
            <w:r w:rsidRPr="003A6675">
              <w:t>Reg</w:t>
            </w:r>
            <w:r w:rsidR="00351263">
              <w:t>.7A, Table item</w:t>
            </w:r>
            <w:r w:rsidR="003224ED">
              <w:t>s</w:t>
            </w:r>
            <w:r w:rsidR="00351263">
              <w:t xml:space="preserve"> 9</w:t>
            </w:r>
            <w:r w:rsidR="003224ED">
              <w:t>, 12 and 13, r</w:t>
            </w:r>
            <w:r w:rsidR="006F577F">
              <w:t>eg</w:t>
            </w:r>
            <w:r w:rsidR="003224ED">
              <w:t>. 7B</w:t>
            </w:r>
            <w:r w:rsidR="002D5C77">
              <w:rPr>
                <w:rStyle w:val="FootnoteReference"/>
              </w:rPr>
              <w:footnoteReference w:id="5"/>
            </w:r>
            <w:r w:rsidR="003224ED">
              <w:t>, Table item 6, r</w:t>
            </w:r>
            <w:r w:rsidR="006C3526">
              <w:t>eg</w:t>
            </w:r>
            <w:r w:rsidR="003224ED">
              <w:t>.7C</w:t>
            </w:r>
            <w:r w:rsidR="006F577F">
              <w:rPr>
                <w:rStyle w:val="FootnoteReference"/>
              </w:rPr>
              <w:footnoteReference w:id="6"/>
            </w:r>
            <w:r w:rsidR="003224ED">
              <w:t>, Table items 1 &amp; 3</w:t>
            </w:r>
          </w:p>
        </w:tc>
      </w:tr>
      <w:tr w:rsidR="005326B0" w:rsidTr="00D75B6B">
        <w:tc>
          <w:tcPr>
            <w:tcW w:w="0" w:type="auto"/>
            <w:tcMar>
              <w:top w:w="0" w:type="dxa"/>
              <w:left w:w="108" w:type="dxa"/>
              <w:bottom w:w="0" w:type="dxa"/>
              <w:right w:w="108" w:type="dxa"/>
            </w:tcMar>
          </w:tcPr>
          <w:p w:rsidR="005326B0" w:rsidRDefault="005326B0" w:rsidP="00D75B6B">
            <w:r>
              <w:t>4.4</w:t>
            </w:r>
          </w:p>
        </w:tc>
        <w:tc>
          <w:tcPr>
            <w:tcW w:w="0" w:type="auto"/>
            <w:tcMar>
              <w:top w:w="0" w:type="dxa"/>
              <w:left w:w="108" w:type="dxa"/>
              <w:bottom w:w="0" w:type="dxa"/>
              <w:right w:w="108" w:type="dxa"/>
            </w:tcMar>
          </w:tcPr>
          <w:p w:rsidR="005326B0" w:rsidRDefault="005326B0" w:rsidP="00D75B6B">
            <w:r w:rsidRPr="00D170E5">
              <w:t>n/a</w:t>
            </w:r>
          </w:p>
        </w:tc>
        <w:tc>
          <w:tcPr>
            <w:tcW w:w="3653" w:type="dxa"/>
            <w:tcMar>
              <w:top w:w="0" w:type="dxa"/>
              <w:left w:w="108" w:type="dxa"/>
              <w:bottom w:w="0" w:type="dxa"/>
              <w:right w:w="108" w:type="dxa"/>
            </w:tcMar>
          </w:tcPr>
          <w:p w:rsidR="005326B0" w:rsidRDefault="005326B0" w:rsidP="00D75B6B">
            <w:r>
              <w:t>Amenities</w:t>
            </w:r>
          </w:p>
        </w:tc>
        <w:tc>
          <w:tcPr>
            <w:tcW w:w="3267" w:type="dxa"/>
          </w:tcPr>
          <w:p w:rsidR="005326B0" w:rsidRDefault="00862F13" w:rsidP="004A56DC">
            <w:r>
              <w:t xml:space="preserve">Repealed from Code </w:t>
            </w:r>
            <w:r w:rsidR="00D36152">
              <w:t xml:space="preserve">and </w:t>
            </w:r>
            <w:r w:rsidR="004A56DC">
              <w:t xml:space="preserve">transferred to </w:t>
            </w:r>
            <w:r>
              <w:t>RV Regs.</w:t>
            </w:r>
          </w:p>
        </w:tc>
        <w:tc>
          <w:tcPr>
            <w:tcW w:w="4329" w:type="dxa"/>
          </w:tcPr>
          <w:p w:rsidR="005326B0" w:rsidRDefault="005326B0" w:rsidP="00B046F3">
            <w:r w:rsidRPr="003A6675">
              <w:t>Reg</w:t>
            </w:r>
            <w:r w:rsidR="006F577F">
              <w:t>.</w:t>
            </w:r>
            <w:r w:rsidR="003224ED">
              <w:t xml:space="preserve"> 7A, Table item</w:t>
            </w:r>
            <w:r w:rsidR="00DF561B">
              <w:t>s</w:t>
            </w:r>
            <w:r w:rsidR="003224ED">
              <w:t xml:space="preserve"> 9</w:t>
            </w:r>
            <w:r w:rsidR="00DF561B">
              <w:t xml:space="preserve"> &amp;</w:t>
            </w:r>
            <w:r w:rsidR="003224ED">
              <w:t xml:space="preserve"> 12, r</w:t>
            </w:r>
            <w:r w:rsidR="006C3526">
              <w:t>eg</w:t>
            </w:r>
            <w:r w:rsidR="003224ED">
              <w:t>. 7B, Table item</w:t>
            </w:r>
            <w:r w:rsidR="00DF561B">
              <w:t>s</w:t>
            </w:r>
            <w:r w:rsidR="003224ED">
              <w:t xml:space="preserve"> 1</w:t>
            </w:r>
            <w:r w:rsidR="00DF561B">
              <w:t xml:space="preserve"> &amp; 2</w:t>
            </w:r>
            <w:r w:rsidR="00BA5D32">
              <w:t>, reg. 7C, Table item 1, reg. 7F, Table items 1 and 2(a) &amp;(d).</w:t>
            </w:r>
            <w:r w:rsidR="00DE3F08">
              <w:t xml:space="preserve"> (</w:t>
            </w:r>
            <w:r w:rsidR="00B046F3">
              <w:t xml:space="preserve">FR </w:t>
            </w:r>
            <w:r w:rsidR="00DE3F08">
              <w:t>Rec</w:t>
            </w:r>
            <w:r w:rsidR="000B5F6C">
              <w:t>s</w:t>
            </w:r>
            <w:r w:rsidR="00DE3F08">
              <w:t>. 2</w:t>
            </w:r>
            <w:r w:rsidR="000B5F6C">
              <w:t>, 37</w:t>
            </w:r>
            <w:r w:rsidR="00DE3F08">
              <w:t>)</w:t>
            </w:r>
          </w:p>
        </w:tc>
      </w:tr>
      <w:tr w:rsidR="00923B23" w:rsidTr="00D75B6B">
        <w:trPr>
          <w:cantSplit/>
        </w:trPr>
        <w:tc>
          <w:tcPr>
            <w:tcW w:w="0" w:type="auto"/>
            <w:tcMar>
              <w:top w:w="0" w:type="dxa"/>
              <w:left w:w="108" w:type="dxa"/>
              <w:bottom w:w="0" w:type="dxa"/>
              <w:right w:w="108" w:type="dxa"/>
            </w:tcMar>
          </w:tcPr>
          <w:p w:rsidR="00923B23" w:rsidRDefault="00923B23" w:rsidP="00D75B6B">
            <w:r>
              <w:t>4.5</w:t>
            </w:r>
          </w:p>
        </w:tc>
        <w:tc>
          <w:tcPr>
            <w:tcW w:w="0" w:type="auto"/>
            <w:tcMar>
              <w:top w:w="0" w:type="dxa"/>
              <w:left w:w="108" w:type="dxa"/>
              <w:bottom w:w="0" w:type="dxa"/>
              <w:right w:w="108" w:type="dxa"/>
            </w:tcMar>
          </w:tcPr>
          <w:p w:rsidR="00923B23" w:rsidRDefault="00923B23" w:rsidP="00D75B6B">
            <w:r>
              <w:t xml:space="preserve">13 </w:t>
            </w:r>
          </w:p>
        </w:tc>
        <w:tc>
          <w:tcPr>
            <w:tcW w:w="3653" w:type="dxa"/>
            <w:tcMar>
              <w:top w:w="0" w:type="dxa"/>
              <w:left w:w="108" w:type="dxa"/>
              <w:bottom w:w="0" w:type="dxa"/>
              <w:right w:w="108" w:type="dxa"/>
            </w:tcMar>
          </w:tcPr>
          <w:p w:rsidR="00923B23" w:rsidRDefault="00923B23" w:rsidP="00D75B6B">
            <w:r>
              <w:t>Services</w:t>
            </w:r>
          </w:p>
        </w:tc>
        <w:tc>
          <w:tcPr>
            <w:tcW w:w="3267" w:type="dxa"/>
          </w:tcPr>
          <w:p w:rsidR="00923B23" w:rsidRDefault="00923B23" w:rsidP="00D75B6B">
            <w:r>
              <w:t>Services</w:t>
            </w:r>
            <w:r w:rsidR="006F577F">
              <w:t xml:space="preserve"> (provisions also transferred to RV Regs).</w:t>
            </w:r>
          </w:p>
        </w:tc>
        <w:tc>
          <w:tcPr>
            <w:tcW w:w="4329" w:type="dxa"/>
          </w:tcPr>
          <w:p w:rsidR="00923B23" w:rsidRDefault="00923B23" w:rsidP="00B046F3">
            <w:r>
              <w:t xml:space="preserve">Definition of the term </w:t>
            </w:r>
            <w:r w:rsidR="00AA337D">
              <w:t>‘</w:t>
            </w:r>
            <w:r w:rsidR="005326B0">
              <w:t>personal services</w:t>
            </w:r>
            <w:r w:rsidR="00AA337D">
              <w:t>’</w:t>
            </w:r>
            <w:r>
              <w:t xml:space="preserve"> added in the RV Code.  The term includes services and amenities but excludes communal amenities and village administrative and management services.</w:t>
            </w:r>
            <w:r w:rsidR="00DF561B">
              <w:t xml:space="preserve"> Equivalent provisions also in RV Regs for personal services and communal services provided under t</w:t>
            </w:r>
            <w:r w:rsidR="00831B73">
              <w:t xml:space="preserve">he residence contracts. Reg. </w:t>
            </w:r>
            <w:r w:rsidR="00DF561B">
              <w:t>7D</w:t>
            </w:r>
            <w:r w:rsidR="006F577F">
              <w:rPr>
                <w:rStyle w:val="FootnoteReference"/>
              </w:rPr>
              <w:footnoteReference w:id="7"/>
            </w:r>
            <w:r w:rsidR="00DF561B">
              <w:t xml:space="preserve">, Table items 1, 2 </w:t>
            </w:r>
            <w:r w:rsidR="00831B73">
              <w:t>and 6 plus definitions in r</w:t>
            </w:r>
            <w:r w:rsidR="00C12DD9">
              <w:t>eg</w:t>
            </w:r>
            <w:r w:rsidR="00831B73">
              <w:t xml:space="preserve">. 4A &amp; </w:t>
            </w:r>
            <w:r w:rsidR="006C3526">
              <w:t>r</w:t>
            </w:r>
            <w:r w:rsidR="00831B73">
              <w:t>eg. 7E</w:t>
            </w:r>
            <w:r w:rsidR="00831B73">
              <w:rPr>
                <w:rStyle w:val="FootnoteReference"/>
              </w:rPr>
              <w:footnoteReference w:id="8"/>
            </w:r>
            <w:r w:rsidR="00831B73">
              <w:t>, Table items 1 &amp; 2</w:t>
            </w:r>
            <w:r w:rsidR="00DE3F08">
              <w:t xml:space="preserve"> (</w:t>
            </w:r>
            <w:r w:rsidR="00B046F3">
              <w:t xml:space="preserve">FR </w:t>
            </w:r>
            <w:r w:rsidR="00DE3F08">
              <w:t>Rec</w:t>
            </w:r>
            <w:r w:rsidR="000B5F6C">
              <w:t>s</w:t>
            </w:r>
            <w:r w:rsidR="00DE3F08">
              <w:t>. 2</w:t>
            </w:r>
            <w:r w:rsidR="000B5F6C">
              <w:t>, 37</w:t>
            </w:r>
            <w:r w:rsidR="00DE3F08">
              <w:t>)</w:t>
            </w:r>
          </w:p>
        </w:tc>
      </w:tr>
      <w:tr w:rsidR="00DF561B" w:rsidTr="00D75B6B">
        <w:trPr>
          <w:cantSplit/>
        </w:trPr>
        <w:tc>
          <w:tcPr>
            <w:tcW w:w="0" w:type="auto"/>
            <w:tcMar>
              <w:top w:w="0" w:type="dxa"/>
              <w:left w:w="108" w:type="dxa"/>
              <w:bottom w:w="0" w:type="dxa"/>
              <w:right w:w="108" w:type="dxa"/>
            </w:tcMar>
          </w:tcPr>
          <w:p w:rsidR="00DF561B" w:rsidRDefault="00ED2E8F" w:rsidP="00D75B6B">
            <w:r>
              <w:t>4.6</w:t>
            </w:r>
          </w:p>
        </w:tc>
        <w:tc>
          <w:tcPr>
            <w:tcW w:w="0" w:type="auto"/>
            <w:tcMar>
              <w:top w:w="0" w:type="dxa"/>
              <w:left w:w="108" w:type="dxa"/>
              <w:bottom w:w="0" w:type="dxa"/>
              <w:right w:w="108" w:type="dxa"/>
            </w:tcMar>
          </w:tcPr>
          <w:p w:rsidR="00DF561B" w:rsidRDefault="00862F13" w:rsidP="00D75B6B">
            <w:r>
              <w:t>n/a</w:t>
            </w:r>
          </w:p>
        </w:tc>
        <w:tc>
          <w:tcPr>
            <w:tcW w:w="3653" w:type="dxa"/>
            <w:tcMar>
              <w:top w:w="0" w:type="dxa"/>
              <w:left w:w="108" w:type="dxa"/>
              <w:bottom w:w="0" w:type="dxa"/>
              <w:right w:w="108" w:type="dxa"/>
            </w:tcMar>
          </w:tcPr>
          <w:p w:rsidR="00DF561B" w:rsidRDefault="00862F13" w:rsidP="00D75B6B">
            <w:r>
              <w:t>Payment of Premium and refund entitlement</w:t>
            </w:r>
          </w:p>
        </w:tc>
        <w:tc>
          <w:tcPr>
            <w:tcW w:w="3267" w:type="dxa"/>
          </w:tcPr>
          <w:p w:rsidR="00DF561B" w:rsidRDefault="00862F13" w:rsidP="00BA5D32">
            <w:r>
              <w:t xml:space="preserve">Repealed from Code </w:t>
            </w:r>
            <w:r w:rsidR="00C12DD9">
              <w:t xml:space="preserve">and </w:t>
            </w:r>
            <w:r w:rsidR="004A56DC">
              <w:t xml:space="preserve">transferred to </w:t>
            </w:r>
            <w:r>
              <w:t>RV Regs</w:t>
            </w:r>
            <w:r w:rsidR="00BA5D32">
              <w:t>.</w:t>
            </w:r>
          </w:p>
        </w:tc>
        <w:tc>
          <w:tcPr>
            <w:tcW w:w="4329" w:type="dxa"/>
          </w:tcPr>
          <w:p w:rsidR="00DF561B" w:rsidRDefault="006F577F" w:rsidP="00B046F3">
            <w:r>
              <w:t>Reg.7F</w:t>
            </w:r>
            <w:r>
              <w:rPr>
                <w:rStyle w:val="FootnoteReference"/>
              </w:rPr>
              <w:footnoteReference w:id="9"/>
            </w:r>
            <w:r>
              <w:t>, Table items 1 &amp; 2</w:t>
            </w:r>
            <w:r w:rsidR="006E5F00">
              <w:t xml:space="preserve"> (</w:t>
            </w:r>
            <w:r w:rsidR="00B046F3">
              <w:t xml:space="preserve">FR </w:t>
            </w:r>
            <w:r w:rsidR="006E5F00">
              <w:t>Rec. 88)</w:t>
            </w:r>
          </w:p>
        </w:tc>
      </w:tr>
      <w:tr w:rsidR="00DF561B" w:rsidTr="00D75B6B">
        <w:trPr>
          <w:cantSplit/>
        </w:trPr>
        <w:tc>
          <w:tcPr>
            <w:tcW w:w="0" w:type="auto"/>
            <w:tcMar>
              <w:top w:w="0" w:type="dxa"/>
              <w:left w:w="108" w:type="dxa"/>
              <w:bottom w:w="0" w:type="dxa"/>
              <w:right w:w="108" w:type="dxa"/>
            </w:tcMar>
          </w:tcPr>
          <w:p w:rsidR="00DF561B" w:rsidRDefault="00ED2E8F" w:rsidP="00D75B6B">
            <w:r>
              <w:t>4.7</w:t>
            </w:r>
          </w:p>
        </w:tc>
        <w:tc>
          <w:tcPr>
            <w:tcW w:w="0" w:type="auto"/>
            <w:tcMar>
              <w:top w:w="0" w:type="dxa"/>
              <w:left w:w="108" w:type="dxa"/>
              <w:bottom w:w="0" w:type="dxa"/>
              <w:right w:w="108" w:type="dxa"/>
            </w:tcMar>
          </w:tcPr>
          <w:p w:rsidR="00DF561B" w:rsidRDefault="00DC4818" w:rsidP="00D75B6B">
            <w:r>
              <w:t>n/a</w:t>
            </w:r>
          </w:p>
        </w:tc>
        <w:tc>
          <w:tcPr>
            <w:tcW w:w="3653" w:type="dxa"/>
            <w:tcMar>
              <w:top w:w="0" w:type="dxa"/>
              <w:left w:w="108" w:type="dxa"/>
              <w:bottom w:w="0" w:type="dxa"/>
              <w:right w:w="108" w:type="dxa"/>
            </w:tcMar>
          </w:tcPr>
          <w:p w:rsidR="00DF561B" w:rsidRDefault="00DC4818" w:rsidP="00D75B6B">
            <w:r>
              <w:t>Charges for village operating costs</w:t>
            </w:r>
          </w:p>
        </w:tc>
        <w:tc>
          <w:tcPr>
            <w:tcW w:w="3267" w:type="dxa"/>
          </w:tcPr>
          <w:p w:rsidR="00DF561B" w:rsidRDefault="004A56DC" w:rsidP="004A56DC">
            <w:r>
              <w:t xml:space="preserve">Repealed from Code </w:t>
            </w:r>
            <w:r w:rsidR="00C12DD9">
              <w:t xml:space="preserve">and </w:t>
            </w:r>
            <w:r>
              <w:t xml:space="preserve">transferred to </w:t>
            </w:r>
            <w:r w:rsidR="00862F13">
              <w:t>RV Regs.</w:t>
            </w:r>
          </w:p>
        </w:tc>
        <w:tc>
          <w:tcPr>
            <w:tcW w:w="4329" w:type="dxa"/>
          </w:tcPr>
          <w:p w:rsidR="00DF561B" w:rsidRDefault="00DC4818" w:rsidP="00B046F3">
            <w:r>
              <w:t>Reg. 7F, Table items 3 and 4</w:t>
            </w:r>
            <w:r w:rsidR="0016107A">
              <w:t xml:space="preserve"> (</w:t>
            </w:r>
            <w:r w:rsidR="00B046F3">
              <w:t xml:space="preserve">FR </w:t>
            </w:r>
            <w:r w:rsidR="0016107A">
              <w:t>Rec. 52 (last dot point))</w:t>
            </w:r>
          </w:p>
        </w:tc>
      </w:tr>
      <w:tr w:rsidR="00DF561B" w:rsidTr="00D75B6B">
        <w:trPr>
          <w:cantSplit/>
        </w:trPr>
        <w:tc>
          <w:tcPr>
            <w:tcW w:w="0" w:type="auto"/>
            <w:tcMar>
              <w:top w:w="0" w:type="dxa"/>
              <w:left w:w="108" w:type="dxa"/>
              <w:bottom w:w="0" w:type="dxa"/>
              <w:right w:w="108" w:type="dxa"/>
            </w:tcMar>
          </w:tcPr>
          <w:p w:rsidR="00DF561B" w:rsidRDefault="00ED2E8F" w:rsidP="00D75B6B">
            <w:r>
              <w:t>4.8</w:t>
            </w:r>
          </w:p>
        </w:tc>
        <w:tc>
          <w:tcPr>
            <w:tcW w:w="0" w:type="auto"/>
            <w:tcMar>
              <w:top w:w="0" w:type="dxa"/>
              <w:left w:w="108" w:type="dxa"/>
              <w:bottom w:w="0" w:type="dxa"/>
              <w:right w:w="108" w:type="dxa"/>
            </w:tcMar>
          </w:tcPr>
          <w:p w:rsidR="00DF561B" w:rsidRDefault="00DC4818" w:rsidP="00D75B6B">
            <w:r>
              <w:t>n/a</w:t>
            </w:r>
          </w:p>
        </w:tc>
        <w:tc>
          <w:tcPr>
            <w:tcW w:w="3653" w:type="dxa"/>
            <w:tcMar>
              <w:top w:w="0" w:type="dxa"/>
              <w:left w:w="108" w:type="dxa"/>
              <w:bottom w:w="0" w:type="dxa"/>
              <w:right w:w="108" w:type="dxa"/>
            </w:tcMar>
          </w:tcPr>
          <w:p w:rsidR="00DF561B" w:rsidRDefault="00DC4818" w:rsidP="00D75B6B">
            <w:r>
              <w:t>Reserve funds</w:t>
            </w:r>
          </w:p>
        </w:tc>
        <w:tc>
          <w:tcPr>
            <w:tcW w:w="3267" w:type="dxa"/>
          </w:tcPr>
          <w:p w:rsidR="00DF561B" w:rsidRDefault="00862F13" w:rsidP="004A56DC">
            <w:r>
              <w:t xml:space="preserve">Repealed from Code </w:t>
            </w:r>
            <w:r w:rsidR="00C12DD9">
              <w:t xml:space="preserve">and </w:t>
            </w:r>
            <w:r w:rsidR="004A56DC">
              <w:t>transferred</w:t>
            </w:r>
            <w:r>
              <w:t xml:space="preserve"> RV Regs.</w:t>
            </w:r>
          </w:p>
        </w:tc>
        <w:tc>
          <w:tcPr>
            <w:tcW w:w="4329" w:type="dxa"/>
          </w:tcPr>
          <w:p w:rsidR="00DF561B" w:rsidRDefault="00DC4818" w:rsidP="00D75B6B">
            <w:r>
              <w:t>Reg. 7F, Table item</w:t>
            </w:r>
            <w:r w:rsidR="001A48B3">
              <w:t>s</w:t>
            </w:r>
            <w:r>
              <w:t xml:space="preserve"> 5</w:t>
            </w:r>
            <w:r w:rsidR="001A48B3">
              <w:t xml:space="preserve"> and 6</w:t>
            </w:r>
          </w:p>
          <w:p w:rsidR="00992FA3" w:rsidRDefault="00992FA3" w:rsidP="00534EE0">
            <w:r>
              <w:t>(FR recs. 52, 53, 54)</w:t>
            </w:r>
          </w:p>
        </w:tc>
      </w:tr>
      <w:tr w:rsidR="00DF561B" w:rsidTr="00D75B6B">
        <w:trPr>
          <w:cantSplit/>
        </w:trPr>
        <w:tc>
          <w:tcPr>
            <w:tcW w:w="0" w:type="auto"/>
            <w:tcMar>
              <w:top w:w="0" w:type="dxa"/>
              <w:left w:w="108" w:type="dxa"/>
              <w:bottom w:w="0" w:type="dxa"/>
              <w:right w:w="108" w:type="dxa"/>
            </w:tcMar>
          </w:tcPr>
          <w:p w:rsidR="00DF561B" w:rsidRDefault="00ED2E8F" w:rsidP="00D75B6B">
            <w:r>
              <w:lastRenderedPageBreak/>
              <w:t>4.9</w:t>
            </w:r>
          </w:p>
        </w:tc>
        <w:tc>
          <w:tcPr>
            <w:tcW w:w="0" w:type="auto"/>
            <w:tcMar>
              <w:top w:w="0" w:type="dxa"/>
              <w:left w:w="108" w:type="dxa"/>
              <w:bottom w:w="0" w:type="dxa"/>
              <w:right w:w="108" w:type="dxa"/>
            </w:tcMar>
          </w:tcPr>
          <w:p w:rsidR="00DF561B" w:rsidRDefault="00DC4818" w:rsidP="00D75B6B">
            <w:r>
              <w:t>n/a</w:t>
            </w:r>
          </w:p>
        </w:tc>
        <w:tc>
          <w:tcPr>
            <w:tcW w:w="3653" w:type="dxa"/>
            <w:tcMar>
              <w:top w:w="0" w:type="dxa"/>
              <w:left w:w="108" w:type="dxa"/>
              <w:bottom w:w="0" w:type="dxa"/>
              <w:right w:w="108" w:type="dxa"/>
            </w:tcMar>
          </w:tcPr>
          <w:p w:rsidR="00DF561B" w:rsidRDefault="00DC4818" w:rsidP="00D75B6B">
            <w:r>
              <w:t>Relocation</w:t>
            </w:r>
          </w:p>
        </w:tc>
        <w:tc>
          <w:tcPr>
            <w:tcW w:w="3267" w:type="dxa"/>
          </w:tcPr>
          <w:p w:rsidR="00DF561B" w:rsidRDefault="00862F13" w:rsidP="00D75B6B">
            <w:r>
              <w:t xml:space="preserve">Repealed from Code </w:t>
            </w:r>
            <w:r w:rsidRPr="00DC4818">
              <w:rPr>
                <w:b/>
              </w:rPr>
              <w:t>not</w:t>
            </w:r>
            <w:r>
              <w:t xml:space="preserve"> </w:t>
            </w:r>
            <w:r w:rsidR="004A56DC">
              <w:t xml:space="preserve">transferred to </w:t>
            </w:r>
            <w:r>
              <w:t>RV Regs</w:t>
            </w:r>
            <w:r w:rsidR="00C12DD9">
              <w:t>.</w:t>
            </w:r>
          </w:p>
        </w:tc>
        <w:tc>
          <w:tcPr>
            <w:tcW w:w="4329" w:type="dxa"/>
          </w:tcPr>
          <w:p w:rsidR="001A48B3" w:rsidRDefault="001A48B3" w:rsidP="001A48B3">
            <w:r>
              <w:t>This has been deferred to Tranche 2 as the issue overlaps with a range of other issues to be considered in Tranche 2 such as consultation with residents about redevelopment of an RV</w:t>
            </w:r>
          </w:p>
        </w:tc>
      </w:tr>
      <w:tr w:rsidR="00DF561B" w:rsidTr="00D75B6B">
        <w:trPr>
          <w:cantSplit/>
        </w:trPr>
        <w:tc>
          <w:tcPr>
            <w:tcW w:w="0" w:type="auto"/>
            <w:tcMar>
              <w:top w:w="0" w:type="dxa"/>
              <w:left w:w="108" w:type="dxa"/>
              <w:bottom w:w="0" w:type="dxa"/>
              <w:right w:w="108" w:type="dxa"/>
            </w:tcMar>
          </w:tcPr>
          <w:p w:rsidR="00DF561B" w:rsidRDefault="00ED2E8F" w:rsidP="00D75B6B">
            <w:r>
              <w:t>4.10</w:t>
            </w:r>
          </w:p>
        </w:tc>
        <w:tc>
          <w:tcPr>
            <w:tcW w:w="0" w:type="auto"/>
            <w:tcMar>
              <w:top w:w="0" w:type="dxa"/>
              <w:left w:w="108" w:type="dxa"/>
              <w:bottom w:w="0" w:type="dxa"/>
              <w:right w:w="108" w:type="dxa"/>
            </w:tcMar>
          </w:tcPr>
          <w:p w:rsidR="00DF561B" w:rsidRDefault="00DC4818" w:rsidP="00D75B6B">
            <w:r>
              <w:t>n/a</w:t>
            </w:r>
          </w:p>
        </w:tc>
        <w:tc>
          <w:tcPr>
            <w:tcW w:w="3653" w:type="dxa"/>
            <w:tcMar>
              <w:top w:w="0" w:type="dxa"/>
              <w:left w:w="108" w:type="dxa"/>
              <w:bottom w:w="0" w:type="dxa"/>
              <w:right w:w="108" w:type="dxa"/>
            </w:tcMar>
          </w:tcPr>
          <w:p w:rsidR="00DF561B" w:rsidRDefault="00DC4818" w:rsidP="00D75B6B">
            <w:r>
              <w:t>Termination of residence contract and fees payable on termination</w:t>
            </w:r>
          </w:p>
        </w:tc>
        <w:tc>
          <w:tcPr>
            <w:tcW w:w="3267" w:type="dxa"/>
          </w:tcPr>
          <w:p w:rsidR="00DF561B" w:rsidRDefault="00862F13" w:rsidP="004A56DC">
            <w:r>
              <w:t>Repealed from Code</w:t>
            </w:r>
            <w:r w:rsidR="004A56DC">
              <w:t xml:space="preserve"> </w:t>
            </w:r>
            <w:r w:rsidR="00C12DD9">
              <w:t xml:space="preserve">and </w:t>
            </w:r>
            <w:r w:rsidR="004A56DC">
              <w:t xml:space="preserve">transferred to </w:t>
            </w:r>
            <w:r>
              <w:t>RV Regs.</w:t>
            </w:r>
          </w:p>
        </w:tc>
        <w:tc>
          <w:tcPr>
            <w:tcW w:w="4329" w:type="dxa"/>
          </w:tcPr>
          <w:p w:rsidR="00FF1E14" w:rsidRDefault="00C12DD9" w:rsidP="001A48B3">
            <w:r>
              <w:t>Reg. 7A, Table items 16 &amp; 17 &amp; r</w:t>
            </w:r>
            <w:r w:rsidR="001A48B3">
              <w:t>eg. 7F Table item 2(c)</w:t>
            </w:r>
            <w:r w:rsidR="0016107A">
              <w:t xml:space="preserve"> </w:t>
            </w:r>
            <w:r w:rsidR="00FF1E14">
              <w:t>(FR recs. 73, 74, 75)</w:t>
            </w:r>
          </w:p>
        </w:tc>
      </w:tr>
      <w:tr w:rsidR="00ED2E8F" w:rsidTr="00D75B6B">
        <w:trPr>
          <w:cantSplit/>
        </w:trPr>
        <w:tc>
          <w:tcPr>
            <w:tcW w:w="0" w:type="auto"/>
            <w:tcMar>
              <w:top w:w="0" w:type="dxa"/>
              <w:left w:w="108" w:type="dxa"/>
              <w:bottom w:w="0" w:type="dxa"/>
              <w:right w:w="108" w:type="dxa"/>
            </w:tcMar>
          </w:tcPr>
          <w:p w:rsidR="00ED2E8F" w:rsidRDefault="00ED2E8F" w:rsidP="00D75B6B">
            <w:r>
              <w:t>4.11</w:t>
            </w:r>
          </w:p>
        </w:tc>
        <w:tc>
          <w:tcPr>
            <w:tcW w:w="0" w:type="auto"/>
            <w:tcMar>
              <w:top w:w="0" w:type="dxa"/>
              <w:left w:w="108" w:type="dxa"/>
              <w:bottom w:w="0" w:type="dxa"/>
              <w:right w:w="108" w:type="dxa"/>
            </w:tcMar>
          </w:tcPr>
          <w:p w:rsidR="00ED2E8F" w:rsidRDefault="00DC4818" w:rsidP="00D75B6B">
            <w:r>
              <w:t>n/a</w:t>
            </w:r>
          </w:p>
        </w:tc>
        <w:tc>
          <w:tcPr>
            <w:tcW w:w="3653" w:type="dxa"/>
            <w:tcMar>
              <w:top w:w="0" w:type="dxa"/>
              <w:left w:w="108" w:type="dxa"/>
              <w:bottom w:w="0" w:type="dxa"/>
              <w:right w:w="108" w:type="dxa"/>
            </w:tcMar>
          </w:tcPr>
          <w:p w:rsidR="00ED2E8F" w:rsidRPr="00DC4818" w:rsidRDefault="00DC4818" w:rsidP="00DC4818">
            <w:pPr>
              <w:rPr>
                <w:i/>
              </w:rPr>
            </w:pPr>
            <w:r>
              <w:t xml:space="preserve">Residence contract to refer to this Code and the </w:t>
            </w:r>
            <w:r>
              <w:rPr>
                <w:i/>
              </w:rPr>
              <w:t>Retirement Villages Act 1992</w:t>
            </w:r>
          </w:p>
        </w:tc>
        <w:tc>
          <w:tcPr>
            <w:tcW w:w="3267" w:type="dxa"/>
          </w:tcPr>
          <w:p w:rsidR="00ED2E8F" w:rsidRDefault="00862F13" w:rsidP="00D75B6B">
            <w:r>
              <w:t>Repealed from Code</w:t>
            </w:r>
            <w:r w:rsidR="004A56DC">
              <w:t xml:space="preserve"> </w:t>
            </w:r>
            <w:r w:rsidR="00C12DD9">
              <w:t xml:space="preserve">and </w:t>
            </w:r>
            <w:r w:rsidR="004A56DC">
              <w:t xml:space="preserve">transferred to </w:t>
            </w:r>
            <w:r>
              <w:t>RV Regs.</w:t>
            </w:r>
          </w:p>
        </w:tc>
        <w:tc>
          <w:tcPr>
            <w:tcW w:w="4329" w:type="dxa"/>
          </w:tcPr>
          <w:p w:rsidR="00ED2E8F" w:rsidRDefault="00831B73" w:rsidP="00D75B6B">
            <w:r>
              <w:t>Reg 7A, Table item 5</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69173D" w:rsidRDefault="00923B23" w:rsidP="00D75B6B">
            <w:pPr>
              <w:rPr>
                <w:b/>
                <w:i/>
              </w:rPr>
            </w:pPr>
            <w:r w:rsidRPr="0069173D">
              <w:rPr>
                <w:b/>
                <w:i/>
              </w:rPr>
              <w:t>Division 5 – Village management</w:t>
            </w:r>
          </w:p>
        </w:tc>
      </w:tr>
      <w:tr w:rsidR="00923B23" w:rsidTr="00D75B6B">
        <w:tc>
          <w:tcPr>
            <w:tcW w:w="0" w:type="auto"/>
            <w:tcMar>
              <w:top w:w="0" w:type="dxa"/>
              <w:left w:w="108" w:type="dxa"/>
              <w:bottom w:w="0" w:type="dxa"/>
              <w:right w:w="108" w:type="dxa"/>
            </w:tcMar>
            <w:hideMark/>
          </w:tcPr>
          <w:p w:rsidR="00923B23" w:rsidRDefault="00923B23" w:rsidP="00D75B6B">
            <w:r>
              <w:t>5.1</w:t>
            </w:r>
          </w:p>
        </w:tc>
        <w:tc>
          <w:tcPr>
            <w:tcW w:w="0" w:type="auto"/>
            <w:tcMar>
              <w:top w:w="0" w:type="dxa"/>
              <w:left w:w="108" w:type="dxa"/>
              <w:bottom w:w="0" w:type="dxa"/>
              <w:right w:w="108" w:type="dxa"/>
            </w:tcMar>
            <w:hideMark/>
          </w:tcPr>
          <w:p w:rsidR="00923B23" w:rsidRDefault="00923B23" w:rsidP="00D75B6B">
            <w:r>
              <w:t>14</w:t>
            </w:r>
          </w:p>
        </w:tc>
        <w:tc>
          <w:tcPr>
            <w:tcW w:w="3653" w:type="dxa"/>
            <w:tcMar>
              <w:top w:w="0" w:type="dxa"/>
              <w:left w:w="108" w:type="dxa"/>
              <w:bottom w:w="0" w:type="dxa"/>
              <w:right w:w="108" w:type="dxa"/>
            </w:tcMar>
            <w:hideMark/>
          </w:tcPr>
          <w:p w:rsidR="00923B23" w:rsidRDefault="00923B23" w:rsidP="00D75B6B">
            <w:r>
              <w:t>Interpretation</w:t>
            </w:r>
          </w:p>
        </w:tc>
        <w:tc>
          <w:tcPr>
            <w:tcW w:w="3267" w:type="dxa"/>
          </w:tcPr>
          <w:p w:rsidR="00923B23" w:rsidRDefault="00923B23" w:rsidP="00D75B6B">
            <w:r>
              <w:t>Terms used</w:t>
            </w:r>
          </w:p>
        </w:tc>
        <w:tc>
          <w:tcPr>
            <w:tcW w:w="4329" w:type="dxa"/>
          </w:tcPr>
          <w:p w:rsidR="00923B23" w:rsidRDefault="00923B23" w:rsidP="00C12DD9">
            <w:r>
              <w:t xml:space="preserve">RV Code includes definitions of the terms </w:t>
            </w:r>
            <w:r w:rsidR="00AA337D">
              <w:t>‘</w:t>
            </w:r>
            <w:r>
              <w:t>Australian Accounting Standards</w:t>
            </w:r>
            <w:r w:rsidR="00AA337D">
              <w:t>’</w:t>
            </w:r>
            <w:r>
              <w:t>,</w:t>
            </w:r>
            <w:r w:rsidR="00AA337D">
              <w:t xml:space="preserve"> ‘</w:t>
            </w:r>
            <w:r>
              <w:t>Australian Accounting Standards Board</w:t>
            </w:r>
            <w:r w:rsidR="00AA337D">
              <w:t>’</w:t>
            </w:r>
            <w:r>
              <w:t xml:space="preserve">, </w:t>
            </w:r>
            <w:r w:rsidR="00AA337D">
              <w:t>‘</w:t>
            </w:r>
            <w:r>
              <w:t>notes</w:t>
            </w:r>
            <w:r w:rsidR="00AA337D">
              <w:t>’</w:t>
            </w:r>
            <w:r>
              <w:t xml:space="preserve">, </w:t>
            </w:r>
            <w:r w:rsidR="005326B0">
              <w:br/>
            </w:r>
            <w:r w:rsidR="00AA337D">
              <w:t>‘</w:t>
            </w:r>
            <w:r>
              <w:t>reserve fund</w:t>
            </w:r>
            <w:r w:rsidR="00AA337D">
              <w:t>’</w:t>
            </w:r>
            <w:r>
              <w:t xml:space="preserve">,  and </w:t>
            </w:r>
            <w:r w:rsidR="00AA337D">
              <w:t>‘</w:t>
            </w:r>
            <w:r>
              <w:t>secret ballot</w:t>
            </w:r>
            <w:r w:rsidR="00AA337D">
              <w:t>’</w:t>
            </w:r>
            <w:r>
              <w:t>.</w:t>
            </w:r>
          </w:p>
        </w:tc>
      </w:tr>
      <w:tr w:rsidR="00923B23" w:rsidTr="00D75B6B">
        <w:tc>
          <w:tcPr>
            <w:tcW w:w="0" w:type="auto"/>
            <w:tcMar>
              <w:top w:w="0" w:type="dxa"/>
              <w:left w:w="108" w:type="dxa"/>
              <w:bottom w:w="0" w:type="dxa"/>
              <w:right w:w="108" w:type="dxa"/>
            </w:tcMar>
            <w:hideMark/>
          </w:tcPr>
          <w:p w:rsidR="00923B23" w:rsidRDefault="00923B23" w:rsidP="00D75B6B">
            <w:r>
              <w:t>5.1(2)</w:t>
            </w:r>
          </w:p>
        </w:tc>
        <w:tc>
          <w:tcPr>
            <w:tcW w:w="0" w:type="auto"/>
            <w:tcMar>
              <w:top w:w="0" w:type="dxa"/>
              <w:left w:w="108" w:type="dxa"/>
              <w:bottom w:w="0" w:type="dxa"/>
              <w:right w:w="108" w:type="dxa"/>
            </w:tcMar>
            <w:hideMark/>
          </w:tcPr>
          <w:p w:rsidR="00923B23" w:rsidRDefault="00923B23" w:rsidP="00D75B6B">
            <w:r>
              <w:t>15</w:t>
            </w:r>
          </w:p>
        </w:tc>
        <w:tc>
          <w:tcPr>
            <w:tcW w:w="3653" w:type="dxa"/>
            <w:tcMar>
              <w:top w:w="0" w:type="dxa"/>
              <w:left w:w="108" w:type="dxa"/>
              <w:bottom w:w="0" w:type="dxa"/>
              <w:right w:w="108" w:type="dxa"/>
            </w:tcMar>
            <w:hideMark/>
          </w:tcPr>
          <w:p w:rsidR="00923B23" w:rsidRDefault="00923B23" w:rsidP="00D75B6B">
            <w:r>
              <w:t>Special resolutions</w:t>
            </w:r>
          </w:p>
        </w:tc>
        <w:tc>
          <w:tcPr>
            <w:tcW w:w="3267" w:type="dxa"/>
          </w:tcPr>
          <w:p w:rsidR="00923B23" w:rsidRDefault="00923B23" w:rsidP="00D75B6B">
            <w:r>
              <w:t>Special resolutions</w:t>
            </w:r>
          </w:p>
        </w:tc>
        <w:tc>
          <w:tcPr>
            <w:tcW w:w="4329" w:type="dxa"/>
          </w:tcPr>
          <w:p w:rsidR="00923B23" w:rsidRDefault="004F665C" w:rsidP="004F665C">
            <w:r>
              <w:t xml:space="preserve">Clause unchanged. New Guidelines inserted in Grey Box. </w:t>
            </w:r>
          </w:p>
        </w:tc>
      </w:tr>
      <w:tr w:rsidR="00923B23" w:rsidTr="00D75B6B">
        <w:tc>
          <w:tcPr>
            <w:tcW w:w="0" w:type="auto"/>
            <w:tcMar>
              <w:top w:w="0" w:type="dxa"/>
              <w:left w:w="108" w:type="dxa"/>
              <w:bottom w:w="0" w:type="dxa"/>
              <w:right w:w="108" w:type="dxa"/>
            </w:tcMar>
            <w:hideMark/>
          </w:tcPr>
          <w:p w:rsidR="00923B23" w:rsidRDefault="00923B23" w:rsidP="00D75B6B">
            <w:r>
              <w:t>5.2</w:t>
            </w:r>
          </w:p>
        </w:tc>
        <w:tc>
          <w:tcPr>
            <w:tcW w:w="0" w:type="auto"/>
            <w:tcMar>
              <w:top w:w="0" w:type="dxa"/>
              <w:left w:w="108" w:type="dxa"/>
              <w:bottom w:w="0" w:type="dxa"/>
              <w:right w:w="108" w:type="dxa"/>
            </w:tcMar>
            <w:hideMark/>
          </w:tcPr>
          <w:p w:rsidR="00923B23" w:rsidRDefault="00923B23" w:rsidP="00D75B6B">
            <w:r>
              <w:t>16</w:t>
            </w:r>
          </w:p>
        </w:tc>
        <w:tc>
          <w:tcPr>
            <w:tcW w:w="3653" w:type="dxa"/>
            <w:tcMar>
              <w:top w:w="0" w:type="dxa"/>
              <w:left w:w="108" w:type="dxa"/>
              <w:bottom w:w="0" w:type="dxa"/>
              <w:right w:w="108" w:type="dxa"/>
            </w:tcMar>
            <w:hideMark/>
          </w:tcPr>
          <w:p w:rsidR="00923B23" w:rsidRDefault="00923B23" w:rsidP="00D75B6B">
            <w:r>
              <w:t>Management procedures and resident consultation</w:t>
            </w:r>
          </w:p>
        </w:tc>
        <w:tc>
          <w:tcPr>
            <w:tcW w:w="3267" w:type="dxa"/>
          </w:tcPr>
          <w:p w:rsidR="00923B23" w:rsidRDefault="00923B23" w:rsidP="00D75B6B">
            <w:r>
              <w:t>Management procedures and resident consultation</w:t>
            </w:r>
          </w:p>
        </w:tc>
        <w:tc>
          <w:tcPr>
            <w:tcW w:w="4329" w:type="dxa"/>
          </w:tcPr>
          <w:p w:rsidR="00923B23" w:rsidRDefault="004F665C" w:rsidP="002D4996">
            <w:r>
              <w:t xml:space="preserve">New clauses inserted in 16(1) regarding an administering body establishing consultation procedures on the day-to-day running of the RV and for consulting with the residents’ committee under cl. 24. </w:t>
            </w:r>
            <w:r w:rsidR="002D4996">
              <w:t>Reference to a r</w:t>
            </w:r>
            <w:r w:rsidR="00923B23">
              <w:t xml:space="preserve">eserve fund budgets </w:t>
            </w:r>
            <w:r w:rsidR="002D4996">
              <w:t>also inserted in cl. 16(2). All other clauses are substantively the same.</w:t>
            </w:r>
          </w:p>
          <w:p w:rsidR="001D2DEF" w:rsidRDefault="00B046F3" w:rsidP="00B046F3">
            <w:r>
              <w:t>(FR R</w:t>
            </w:r>
            <w:r w:rsidR="001D2DEF">
              <w:t>ecs. 40, 52, 61, 62</w:t>
            </w:r>
            <w:r>
              <w:t>)</w:t>
            </w:r>
          </w:p>
        </w:tc>
      </w:tr>
      <w:tr w:rsidR="00923B23" w:rsidTr="00D75B6B">
        <w:tc>
          <w:tcPr>
            <w:tcW w:w="0" w:type="auto"/>
            <w:tcMar>
              <w:top w:w="0" w:type="dxa"/>
              <w:left w:w="108" w:type="dxa"/>
              <w:bottom w:w="0" w:type="dxa"/>
              <w:right w:w="108" w:type="dxa"/>
            </w:tcMar>
            <w:hideMark/>
          </w:tcPr>
          <w:p w:rsidR="00923B23" w:rsidRDefault="00923B23" w:rsidP="00D75B6B">
            <w:r>
              <w:t>5.3</w:t>
            </w:r>
          </w:p>
        </w:tc>
        <w:tc>
          <w:tcPr>
            <w:tcW w:w="0" w:type="auto"/>
            <w:tcMar>
              <w:top w:w="0" w:type="dxa"/>
              <w:left w:w="108" w:type="dxa"/>
              <w:bottom w:w="0" w:type="dxa"/>
              <w:right w:w="108" w:type="dxa"/>
            </w:tcMar>
            <w:hideMark/>
          </w:tcPr>
          <w:p w:rsidR="00923B23" w:rsidRDefault="00923B23" w:rsidP="00D75B6B">
            <w:r>
              <w:t>17</w:t>
            </w:r>
            <w:r w:rsidR="005B1557">
              <w:rPr>
                <w:rStyle w:val="FootnoteReference"/>
              </w:rPr>
              <w:footnoteReference w:id="10"/>
            </w:r>
          </w:p>
        </w:tc>
        <w:tc>
          <w:tcPr>
            <w:tcW w:w="3653" w:type="dxa"/>
            <w:tcMar>
              <w:top w:w="0" w:type="dxa"/>
              <w:left w:w="108" w:type="dxa"/>
              <w:bottom w:w="0" w:type="dxa"/>
              <w:right w:w="108" w:type="dxa"/>
            </w:tcMar>
            <w:hideMark/>
          </w:tcPr>
          <w:p w:rsidR="00923B23" w:rsidRDefault="00923B23" w:rsidP="00D75B6B">
            <w:r>
              <w:t>Village operating budget</w:t>
            </w:r>
          </w:p>
        </w:tc>
        <w:tc>
          <w:tcPr>
            <w:tcW w:w="3267" w:type="dxa"/>
          </w:tcPr>
          <w:p w:rsidR="00923B23" w:rsidRDefault="00923B23" w:rsidP="00D75B6B">
            <w:r>
              <w:t>Village budget</w:t>
            </w:r>
          </w:p>
        </w:tc>
        <w:tc>
          <w:tcPr>
            <w:tcW w:w="4329" w:type="dxa"/>
          </w:tcPr>
          <w:p w:rsidR="00537686" w:rsidRDefault="00923B23" w:rsidP="001C318B">
            <w:r>
              <w:t xml:space="preserve">RV Code </w:t>
            </w:r>
            <w:r w:rsidR="002D4996">
              <w:t xml:space="preserve">retains the requirements in cl. 5.3 and inserts </w:t>
            </w:r>
            <w:r>
              <w:t xml:space="preserve">specific budget line items </w:t>
            </w:r>
            <w:r w:rsidR="002D4996">
              <w:t xml:space="preserve">that </w:t>
            </w:r>
            <w:r>
              <w:t xml:space="preserve">must be presented in </w:t>
            </w:r>
            <w:r w:rsidR="00A15502">
              <w:t xml:space="preserve">relation to </w:t>
            </w:r>
            <w:r>
              <w:t xml:space="preserve">the village </w:t>
            </w:r>
            <w:r w:rsidR="00A15502">
              <w:t xml:space="preserve">operating </w:t>
            </w:r>
            <w:r>
              <w:t>budget.</w:t>
            </w:r>
            <w:r w:rsidR="002D4996">
              <w:t xml:space="preserve"> Some of these were already referenced in cl. 5.3 or in the </w:t>
            </w:r>
            <w:r w:rsidR="005B1557">
              <w:t>‘</w:t>
            </w:r>
            <w:r w:rsidR="002D4996">
              <w:t>Model proposed operating budget</w:t>
            </w:r>
            <w:r w:rsidR="005B1557">
              <w:t>’</w:t>
            </w:r>
            <w:r w:rsidR="002D4996">
              <w:t xml:space="preserve"> at Appendix 2 to the Interim Code.</w:t>
            </w:r>
            <w:r w:rsidR="00721CD9">
              <w:t xml:space="preserve"> </w:t>
            </w:r>
            <w:r w:rsidR="00A15502">
              <w:lastRenderedPageBreak/>
              <w:t xml:space="preserve">Provisions for a </w:t>
            </w:r>
            <w:r w:rsidR="001C318B">
              <w:t xml:space="preserve">reserve fund </w:t>
            </w:r>
            <w:r w:rsidR="00A15502">
              <w:t>budget have been inserted for those villages that have a reserve fund to which residents contribute.</w:t>
            </w:r>
            <w:r w:rsidR="00B046F3">
              <w:t xml:space="preserve"> (FR recs. 52, 54)</w:t>
            </w:r>
          </w:p>
        </w:tc>
      </w:tr>
      <w:tr w:rsidR="00923B23" w:rsidTr="00D75B6B">
        <w:tc>
          <w:tcPr>
            <w:tcW w:w="0" w:type="auto"/>
            <w:tcMar>
              <w:top w:w="0" w:type="dxa"/>
              <w:left w:w="108" w:type="dxa"/>
              <w:bottom w:w="0" w:type="dxa"/>
              <w:right w:w="108" w:type="dxa"/>
            </w:tcMar>
            <w:hideMark/>
          </w:tcPr>
          <w:p w:rsidR="00923B23" w:rsidRDefault="00923B23" w:rsidP="00D75B6B">
            <w:r>
              <w:lastRenderedPageBreak/>
              <w:t>5.4</w:t>
            </w:r>
          </w:p>
        </w:tc>
        <w:tc>
          <w:tcPr>
            <w:tcW w:w="0" w:type="auto"/>
            <w:tcMar>
              <w:top w:w="0" w:type="dxa"/>
              <w:left w:w="108" w:type="dxa"/>
              <w:bottom w:w="0" w:type="dxa"/>
              <w:right w:w="108" w:type="dxa"/>
            </w:tcMar>
            <w:hideMark/>
          </w:tcPr>
          <w:p w:rsidR="00923B23" w:rsidRDefault="00923B23" w:rsidP="00D75B6B">
            <w:r>
              <w:t>18</w:t>
            </w:r>
          </w:p>
        </w:tc>
        <w:tc>
          <w:tcPr>
            <w:tcW w:w="3653" w:type="dxa"/>
            <w:tcMar>
              <w:top w:w="0" w:type="dxa"/>
              <w:left w:w="108" w:type="dxa"/>
              <w:bottom w:w="0" w:type="dxa"/>
              <w:right w:w="108" w:type="dxa"/>
            </w:tcMar>
            <w:hideMark/>
          </w:tcPr>
          <w:p w:rsidR="00923B23" w:rsidRDefault="00923B23" w:rsidP="00D75B6B">
            <w:r>
              <w:t>Quarterly operating income and expenditure statements</w:t>
            </w:r>
          </w:p>
        </w:tc>
        <w:tc>
          <w:tcPr>
            <w:tcW w:w="3267" w:type="dxa"/>
          </w:tcPr>
          <w:p w:rsidR="00923B23" w:rsidRDefault="00923B23" w:rsidP="00D75B6B">
            <w:r>
              <w:t>Quarterly financial statements</w:t>
            </w:r>
          </w:p>
        </w:tc>
        <w:tc>
          <w:tcPr>
            <w:tcW w:w="4329" w:type="dxa"/>
          </w:tcPr>
          <w:p w:rsidR="00923B23" w:rsidRDefault="00721CD9" w:rsidP="001C4C30">
            <w:r>
              <w:t xml:space="preserve">Within the context of </w:t>
            </w:r>
            <w:r w:rsidR="00A15502">
              <w:t xml:space="preserve">existing </w:t>
            </w:r>
            <w:r>
              <w:t xml:space="preserve">requirements in clause 5.4 </w:t>
            </w:r>
            <w:r w:rsidR="00A15502">
              <w:t xml:space="preserve">of the Interim Code </w:t>
            </w:r>
            <w:r>
              <w:t xml:space="preserve">and the ‘Model quarterly income and expenditure statement’ at Appendix 3 and the ‘Model reserve fund quarterly income and expenditure statement’ at Appendix 4 of the Interim Code, the </w:t>
            </w:r>
            <w:r w:rsidR="00923B23">
              <w:t xml:space="preserve">RV Code clarifies the financial reporting requirements for quarterly financial statements </w:t>
            </w:r>
            <w:r w:rsidR="00A15502">
              <w:t xml:space="preserve">(for operating accounts and reserve funds) </w:t>
            </w:r>
            <w:r>
              <w:t>by cross-referencing back to the line items referenced in the budget. Provision</w:t>
            </w:r>
            <w:r w:rsidR="00A15502">
              <w:t xml:space="preserve">s have been inserted for notes (clause 18(6)) to be included disclosing particular matters that are relevant to residents’ understanding quarterly financial reports. </w:t>
            </w:r>
            <w:r w:rsidR="001C4C30">
              <w:t>(FR recs. 52, 54)</w:t>
            </w:r>
          </w:p>
        </w:tc>
      </w:tr>
      <w:tr w:rsidR="00923B23" w:rsidTr="00D75B6B">
        <w:tc>
          <w:tcPr>
            <w:tcW w:w="0" w:type="auto"/>
            <w:tcMar>
              <w:top w:w="0" w:type="dxa"/>
              <w:left w:w="108" w:type="dxa"/>
              <w:bottom w:w="0" w:type="dxa"/>
              <w:right w:w="108" w:type="dxa"/>
            </w:tcMar>
            <w:hideMark/>
          </w:tcPr>
          <w:p w:rsidR="00923B23" w:rsidRDefault="00923B23" w:rsidP="00D75B6B">
            <w:r>
              <w:t>5.5</w:t>
            </w:r>
          </w:p>
        </w:tc>
        <w:tc>
          <w:tcPr>
            <w:tcW w:w="0" w:type="auto"/>
            <w:tcMar>
              <w:top w:w="0" w:type="dxa"/>
              <w:left w:w="108" w:type="dxa"/>
              <w:bottom w:w="0" w:type="dxa"/>
              <w:right w:w="108" w:type="dxa"/>
            </w:tcMar>
            <w:hideMark/>
          </w:tcPr>
          <w:p w:rsidR="00923B23" w:rsidRDefault="00923B23" w:rsidP="00D75B6B">
            <w:r>
              <w:t>19</w:t>
            </w:r>
          </w:p>
        </w:tc>
        <w:tc>
          <w:tcPr>
            <w:tcW w:w="3653" w:type="dxa"/>
            <w:tcMar>
              <w:top w:w="0" w:type="dxa"/>
              <w:left w:w="108" w:type="dxa"/>
              <w:bottom w:w="0" w:type="dxa"/>
              <w:right w:w="108" w:type="dxa"/>
            </w:tcMar>
            <w:hideMark/>
          </w:tcPr>
          <w:p w:rsidR="00923B23" w:rsidRDefault="00923B23" w:rsidP="00D75B6B">
            <w:r>
              <w:t>Annual accounts</w:t>
            </w:r>
          </w:p>
        </w:tc>
        <w:tc>
          <w:tcPr>
            <w:tcW w:w="3267" w:type="dxa"/>
          </w:tcPr>
          <w:p w:rsidR="00923B23" w:rsidRDefault="00923B23" w:rsidP="00D75B6B">
            <w:r>
              <w:t>Annual financial statements</w:t>
            </w:r>
          </w:p>
        </w:tc>
        <w:tc>
          <w:tcPr>
            <w:tcW w:w="4329" w:type="dxa"/>
          </w:tcPr>
          <w:p w:rsidR="00537686" w:rsidRDefault="00A15502" w:rsidP="005E41FD">
            <w:r>
              <w:t>Clause 5.5 of the Interim Code currently requires residents to be provided with ‘a written presentation of the operating financial position of the retirement village as at the end of the previous financial year</w:t>
            </w:r>
            <w:r w:rsidR="00AA337D">
              <w:t>’</w:t>
            </w:r>
            <w:r>
              <w:t xml:space="preserve">. </w:t>
            </w:r>
            <w:r w:rsidR="005E41FD">
              <w:t xml:space="preserve">The RV Code builds on the existing requirements in clause 5.5 by referencing both the actual and budget amounts for each line item that was included in the proposed operating budget under clause 17(3). Provisions have also been inserted for notes, including notes disclosing ‘the opening balance of the accumulated surplus or deficit as at the beginning of the financial year; and the closing balance of the accumulated surplus or deficit as at the end of the financial year after </w:t>
            </w:r>
            <w:r w:rsidR="005E41FD">
              <w:lastRenderedPageBreak/>
              <w:t>adjustment for the surplus or deficit for the financial year – as shown in the statement of income and expenditure</w:t>
            </w:r>
            <w:r w:rsidR="00AA337D">
              <w:t>’</w:t>
            </w:r>
            <w:r w:rsidR="005E41FD">
              <w:t xml:space="preserve">. Provision has also been made for statements to be audited on an annual basis except where residents have resolved under clause 19(10) that the statements for a particular financial year are not required to be audited. </w:t>
            </w:r>
            <w:r w:rsidR="001C4C30">
              <w:t>(</w:t>
            </w:r>
            <w:r w:rsidR="00537686">
              <w:t>FR rec. 43</w:t>
            </w:r>
            <w:r w:rsidR="001C4C30">
              <w:t>)</w:t>
            </w:r>
          </w:p>
        </w:tc>
      </w:tr>
      <w:tr w:rsidR="00923B23" w:rsidTr="00D75B6B">
        <w:tc>
          <w:tcPr>
            <w:tcW w:w="0" w:type="auto"/>
            <w:tcMar>
              <w:top w:w="0" w:type="dxa"/>
              <w:left w:w="108" w:type="dxa"/>
              <w:bottom w:w="0" w:type="dxa"/>
              <w:right w:w="108" w:type="dxa"/>
            </w:tcMar>
            <w:hideMark/>
          </w:tcPr>
          <w:p w:rsidR="00923B23" w:rsidRDefault="00923B23" w:rsidP="00D75B6B">
            <w:r>
              <w:lastRenderedPageBreak/>
              <w:t>5.6</w:t>
            </w:r>
          </w:p>
        </w:tc>
        <w:tc>
          <w:tcPr>
            <w:tcW w:w="0" w:type="auto"/>
            <w:tcMar>
              <w:top w:w="0" w:type="dxa"/>
              <w:left w:w="108" w:type="dxa"/>
              <w:bottom w:w="0" w:type="dxa"/>
              <w:right w:w="108" w:type="dxa"/>
            </w:tcMar>
            <w:hideMark/>
          </w:tcPr>
          <w:p w:rsidR="00923B23" w:rsidRDefault="00923B23" w:rsidP="00D75B6B">
            <w:r>
              <w:t>20</w:t>
            </w:r>
          </w:p>
        </w:tc>
        <w:tc>
          <w:tcPr>
            <w:tcW w:w="3653" w:type="dxa"/>
            <w:tcMar>
              <w:top w:w="0" w:type="dxa"/>
              <w:left w:w="108" w:type="dxa"/>
              <w:bottom w:w="0" w:type="dxa"/>
              <w:right w:w="108" w:type="dxa"/>
            </w:tcMar>
            <w:hideMark/>
          </w:tcPr>
          <w:p w:rsidR="00923B23" w:rsidRDefault="00923B23" w:rsidP="00D75B6B">
            <w:r>
              <w:t>Budget surplus</w:t>
            </w:r>
          </w:p>
        </w:tc>
        <w:tc>
          <w:tcPr>
            <w:tcW w:w="3267" w:type="dxa"/>
          </w:tcPr>
          <w:p w:rsidR="00923B23" w:rsidRDefault="00923B23" w:rsidP="00D75B6B">
            <w:r>
              <w:t>Budget surplus</w:t>
            </w:r>
          </w:p>
        </w:tc>
        <w:tc>
          <w:tcPr>
            <w:tcW w:w="4329" w:type="dxa"/>
          </w:tcPr>
          <w:p w:rsidR="00923B23" w:rsidRDefault="005E41FD" w:rsidP="00CF69FA">
            <w:r>
              <w:t xml:space="preserve">Clause unchanged except </w:t>
            </w:r>
            <w:r w:rsidR="00CF69FA">
              <w:t xml:space="preserve">that </w:t>
            </w:r>
            <w:r>
              <w:t xml:space="preserve">the reference to a residence contract </w:t>
            </w:r>
            <w:r w:rsidR="00CF69FA">
              <w:t>‘</w:t>
            </w:r>
            <w:r>
              <w:t>providing otherwise</w:t>
            </w:r>
            <w:r w:rsidR="00CF69FA">
              <w:t>’</w:t>
            </w:r>
            <w:r>
              <w:t xml:space="preserve"> has been removed so that residence contracts cannot provide a mechanism by which a surplus can be used for another purpose without the approval of </w:t>
            </w:r>
            <w:r w:rsidR="00CF69FA">
              <w:t xml:space="preserve">the </w:t>
            </w:r>
            <w:r>
              <w:t>residents</w:t>
            </w:r>
            <w:r w:rsidR="00CF69FA">
              <w:t xml:space="preserve"> who contributed to the surplus</w:t>
            </w:r>
            <w:r>
              <w:t>.</w:t>
            </w:r>
            <w:r w:rsidR="001C4C30">
              <w:t xml:space="preserve"> (FR Rec. 41)</w:t>
            </w:r>
          </w:p>
        </w:tc>
      </w:tr>
      <w:tr w:rsidR="00923B23" w:rsidTr="00D75B6B">
        <w:tc>
          <w:tcPr>
            <w:tcW w:w="0" w:type="auto"/>
            <w:tcMar>
              <w:top w:w="0" w:type="dxa"/>
              <w:left w:w="108" w:type="dxa"/>
              <w:bottom w:w="0" w:type="dxa"/>
              <w:right w:w="108" w:type="dxa"/>
            </w:tcMar>
            <w:hideMark/>
          </w:tcPr>
          <w:p w:rsidR="00923B23" w:rsidRDefault="00923B23" w:rsidP="00D75B6B">
            <w:r>
              <w:t>5.7</w:t>
            </w:r>
          </w:p>
        </w:tc>
        <w:tc>
          <w:tcPr>
            <w:tcW w:w="0" w:type="auto"/>
            <w:tcMar>
              <w:top w:w="0" w:type="dxa"/>
              <w:left w:w="108" w:type="dxa"/>
              <w:bottom w:w="0" w:type="dxa"/>
              <w:right w:w="108" w:type="dxa"/>
            </w:tcMar>
            <w:hideMark/>
          </w:tcPr>
          <w:p w:rsidR="00923B23" w:rsidRDefault="00923B23" w:rsidP="00D75B6B">
            <w:r>
              <w:t>21</w:t>
            </w:r>
          </w:p>
        </w:tc>
        <w:tc>
          <w:tcPr>
            <w:tcW w:w="3653" w:type="dxa"/>
            <w:tcMar>
              <w:top w:w="0" w:type="dxa"/>
              <w:left w:w="108" w:type="dxa"/>
              <w:bottom w:w="0" w:type="dxa"/>
              <w:right w:w="108" w:type="dxa"/>
            </w:tcMar>
            <w:hideMark/>
          </w:tcPr>
          <w:p w:rsidR="00923B23" w:rsidRDefault="00923B23" w:rsidP="00D75B6B">
            <w:r>
              <w:t>Marketing of residential premises</w:t>
            </w:r>
          </w:p>
        </w:tc>
        <w:tc>
          <w:tcPr>
            <w:tcW w:w="3267" w:type="dxa"/>
          </w:tcPr>
          <w:p w:rsidR="00923B23" w:rsidRDefault="00923B23" w:rsidP="00D75B6B">
            <w:r>
              <w:t>Marketing of residential premises</w:t>
            </w:r>
          </w:p>
        </w:tc>
        <w:tc>
          <w:tcPr>
            <w:tcW w:w="4329" w:type="dxa"/>
          </w:tcPr>
          <w:p w:rsidR="00923B23" w:rsidRDefault="00923B23" w:rsidP="00D75B6B">
            <w:r>
              <w:t>Clause unchanged</w:t>
            </w:r>
            <w:r w:rsidR="005326B0">
              <w:t>.</w:t>
            </w:r>
            <w:r w:rsidR="00ED2E8F">
              <w:t xml:space="preserve"> Words added to clarify that clause only applies where a resident is required to contribute in whole or part to the expenses incurred for marketing the premises.</w:t>
            </w:r>
          </w:p>
        </w:tc>
      </w:tr>
      <w:tr w:rsidR="00923B23" w:rsidTr="00D75B6B">
        <w:tc>
          <w:tcPr>
            <w:tcW w:w="0" w:type="auto"/>
            <w:tcMar>
              <w:top w:w="0" w:type="dxa"/>
              <w:left w:w="108" w:type="dxa"/>
              <w:bottom w:w="0" w:type="dxa"/>
              <w:right w:w="108" w:type="dxa"/>
            </w:tcMar>
            <w:hideMark/>
          </w:tcPr>
          <w:p w:rsidR="00923B23" w:rsidRDefault="00923B23" w:rsidP="00D75B6B">
            <w:r>
              <w:t>5.8</w:t>
            </w:r>
          </w:p>
        </w:tc>
        <w:tc>
          <w:tcPr>
            <w:tcW w:w="0" w:type="auto"/>
            <w:tcMar>
              <w:top w:w="0" w:type="dxa"/>
              <w:left w:w="108" w:type="dxa"/>
              <w:bottom w:w="0" w:type="dxa"/>
              <w:right w:w="108" w:type="dxa"/>
            </w:tcMar>
            <w:hideMark/>
          </w:tcPr>
          <w:p w:rsidR="00923B23" w:rsidRDefault="00923B23" w:rsidP="00D75B6B">
            <w:r>
              <w:t>22</w:t>
            </w:r>
          </w:p>
        </w:tc>
        <w:tc>
          <w:tcPr>
            <w:tcW w:w="3653" w:type="dxa"/>
            <w:tcMar>
              <w:top w:w="0" w:type="dxa"/>
              <w:left w:w="108" w:type="dxa"/>
              <w:bottom w:w="0" w:type="dxa"/>
              <w:right w:w="108" w:type="dxa"/>
            </w:tcMar>
            <w:hideMark/>
          </w:tcPr>
          <w:p w:rsidR="00923B23" w:rsidRDefault="00923B23" w:rsidP="00D75B6B">
            <w:r>
              <w:t>Repair and refurbishment of residential premises</w:t>
            </w:r>
          </w:p>
        </w:tc>
        <w:tc>
          <w:tcPr>
            <w:tcW w:w="3267" w:type="dxa"/>
          </w:tcPr>
          <w:p w:rsidR="00923B23" w:rsidRDefault="00923B23" w:rsidP="00D75B6B">
            <w:r>
              <w:t>Refurbishment of residential premises</w:t>
            </w:r>
          </w:p>
        </w:tc>
        <w:tc>
          <w:tcPr>
            <w:tcW w:w="4329" w:type="dxa"/>
          </w:tcPr>
          <w:p w:rsidR="00537686" w:rsidRDefault="00CF69FA" w:rsidP="00CF69FA">
            <w:r>
              <w:t>Clause 22 builds on the existing framework in clause 5.8 of the Interim Code by inserting a definition of ‘refurbishment work’</w:t>
            </w:r>
            <w:r w:rsidR="00923B23">
              <w:t xml:space="preserve"> </w:t>
            </w:r>
            <w:r>
              <w:t xml:space="preserve">to reference ‘returning premises to a reasonable condition’ </w:t>
            </w:r>
            <w:r w:rsidR="00923B23">
              <w:t>and introduc</w:t>
            </w:r>
            <w:r>
              <w:t>ing</w:t>
            </w:r>
            <w:r w:rsidR="00923B23">
              <w:t xml:space="preserve"> requirements for written statements and estimates </w:t>
            </w:r>
            <w:r w:rsidR="002B6A0B">
              <w:t xml:space="preserve">to be given to residents </w:t>
            </w:r>
            <w:r w:rsidR="00923B23">
              <w:t>before the commencement of refurbishment work</w:t>
            </w:r>
            <w:r>
              <w:t xml:space="preserve">. Provision is also made giving residents the capacity to inspect the works prior to paying for them </w:t>
            </w:r>
            <w:r w:rsidR="00923B23">
              <w:t>and expand</w:t>
            </w:r>
            <w:r>
              <w:t>ing</w:t>
            </w:r>
            <w:r w:rsidR="00923B23">
              <w:t xml:space="preserve"> the </w:t>
            </w:r>
            <w:r>
              <w:t xml:space="preserve">grounds on which refurbishment disputes can be taken to the </w:t>
            </w:r>
            <w:r w:rsidR="00923B23">
              <w:t>State Administrative Tribunal.</w:t>
            </w:r>
            <w:r w:rsidR="001C4C30">
              <w:t xml:space="preserve"> (</w:t>
            </w:r>
            <w:r w:rsidR="00537686">
              <w:t>FR recs. 76, 77</w:t>
            </w:r>
            <w:r w:rsidR="001C4C30">
              <w:t>)</w:t>
            </w:r>
          </w:p>
        </w:tc>
      </w:tr>
      <w:tr w:rsidR="00923B23" w:rsidTr="00D75B6B">
        <w:tc>
          <w:tcPr>
            <w:tcW w:w="0" w:type="auto"/>
            <w:tcMar>
              <w:top w:w="0" w:type="dxa"/>
              <w:left w:w="108" w:type="dxa"/>
              <w:bottom w:w="0" w:type="dxa"/>
              <w:right w:w="108" w:type="dxa"/>
            </w:tcMar>
            <w:hideMark/>
          </w:tcPr>
          <w:p w:rsidR="00923B23" w:rsidRDefault="00923B23" w:rsidP="00D75B6B">
            <w:r>
              <w:t>5.9</w:t>
            </w:r>
          </w:p>
        </w:tc>
        <w:tc>
          <w:tcPr>
            <w:tcW w:w="0" w:type="auto"/>
            <w:tcMar>
              <w:top w:w="0" w:type="dxa"/>
              <w:left w:w="108" w:type="dxa"/>
              <w:bottom w:w="0" w:type="dxa"/>
              <w:right w:w="108" w:type="dxa"/>
            </w:tcMar>
            <w:hideMark/>
          </w:tcPr>
          <w:p w:rsidR="00923B23" w:rsidRDefault="00923B23" w:rsidP="00D75B6B">
            <w:r>
              <w:t>23</w:t>
            </w:r>
          </w:p>
        </w:tc>
        <w:tc>
          <w:tcPr>
            <w:tcW w:w="3653" w:type="dxa"/>
            <w:tcMar>
              <w:top w:w="0" w:type="dxa"/>
              <w:left w:w="108" w:type="dxa"/>
              <w:bottom w:w="0" w:type="dxa"/>
              <w:right w:w="108" w:type="dxa"/>
            </w:tcMar>
            <w:hideMark/>
          </w:tcPr>
          <w:p w:rsidR="00923B23" w:rsidRDefault="00923B23" w:rsidP="00D75B6B">
            <w:r>
              <w:t>Residence rules</w:t>
            </w:r>
          </w:p>
        </w:tc>
        <w:tc>
          <w:tcPr>
            <w:tcW w:w="3267" w:type="dxa"/>
          </w:tcPr>
          <w:p w:rsidR="00923B23" w:rsidRDefault="00923B23" w:rsidP="00D75B6B">
            <w:r>
              <w:t>Residence rules</w:t>
            </w:r>
          </w:p>
        </w:tc>
        <w:tc>
          <w:tcPr>
            <w:tcW w:w="4329" w:type="dxa"/>
          </w:tcPr>
          <w:p w:rsidR="00923B23" w:rsidRDefault="00923B23" w:rsidP="001C4C30">
            <w:r>
              <w:t xml:space="preserve">Clause unchanged except that clause 5.9(6) </w:t>
            </w:r>
            <w:r w:rsidR="00D75B6B">
              <w:t xml:space="preserve">of the Interim Code </w:t>
            </w:r>
            <w:r w:rsidR="001D1809">
              <w:t xml:space="preserve">has been </w:t>
            </w:r>
            <w:r w:rsidR="002B6A0B">
              <w:t>re</w:t>
            </w:r>
            <w:r w:rsidR="00C12DD9">
              <w:t xml:space="preserve">moved due to the </w:t>
            </w:r>
            <w:r w:rsidR="00C12DD9">
              <w:lastRenderedPageBreak/>
              <w:t>c</w:t>
            </w:r>
            <w:r w:rsidR="00CF69FA">
              <w:t xml:space="preserve">ode of practice </w:t>
            </w:r>
            <w:r w:rsidR="00D75B6B">
              <w:t xml:space="preserve">being legislation that </w:t>
            </w:r>
            <w:r w:rsidR="00CF69FA">
              <w:t xml:space="preserve">governs the </w:t>
            </w:r>
            <w:r w:rsidR="001C4C30">
              <w:t xml:space="preserve">industry </w:t>
            </w:r>
            <w:r w:rsidR="00CF69FA">
              <w:t xml:space="preserve">conduct not </w:t>
            </w:r>
            <w:r w:rsidR="00D75B6B">
              <w:t xml:space="preserve">individual </w:t>
            </w:r>
            <w:r w:rsidR="001C4C30">
              <w:t>consumers</w:t>
            </w:r>
            <w:r w:rsidR="00CF69FA">
              <w:t>.</w:t>
            </w:r>
          </w:p>
        </w:tc>
      </w:tr>
      <w:tr w:rsidR="00923B23" w:rsidTr="00D75B6B">
        <w:tc>
          <w:tcPr>
            <w:tcW w:w="0" w:type="auto"/>
            <w:tcMar>
              <w:top w:w="0" w:type="dxa"/>
              <w:left w:w="108" w:type="dxa"/>
              <w:bottom w:w="0" w:type="dxa"/>
              <w:right w:w="108" w:type="dxa"/>
            </w:tcMar>
            <w:hideMark/>
          </w:tcPr>
          <w:p w:rsidR="00923B23" w:rsidRDefault="00923B23" w:rsidP="00D75B6B">
            <w:r>
              <w:lastRenderedPageBreak/>
              <w:t>5.10</w:t>
            </w:r>
          </w:p>
        </w:tc>
        <w:tc>
          <w:tcPr>
            <w:tcW w:w="0" w:type="auto"/>
            <w:tcMar>
              <w:top w:w="0" w:type="dxa"/>
              <w:left w:w="108" w:type="dxa"/>
              <w:bottom w:w="0" w:type="dxa"/>
              <w:right w:w="108" w:type="dxa"/>
            </w:tcMar>
            <w:hideMark/>
          </w:tcPr>
          <w:p w:rsidR="00923B23" w:rsidRDefault="00923B23" w:rsidP="00D75B6B">
            <w:r>
              <w:t>24</w:t>
            </w:r>
          </w:p>
        </w:tc>
        <w:tc>
          <w:tcPr>
            <w:tcW w:w="3653" w:type="dxa"/>
            <w:tcMar>
              <w:top w:w="0" w:type="dxa"/>
              <w:left w:w="108" w:type="dxa"/>
              <w:bottom w:w="0" w:type="dxa"/>
              <w:right w:w="108" w:type="dxa"/>
            </w:tcMar>
            <w:hideMark/>
          </w:tcPr>
          <w:p w:rsidR="00923B23" w:rsidRDefault="00923B23" w:rsidP="00D75B6B">
            <w:r>
              <w:t>Residents’ committee</w:t>
            </w:r>
          </w:p>
        </w:tc>
        <w:tc>
          <w:tcPr>
            <w:tcW w:w="3267" w:type="dxa"/>
          </w:tcPr>
          <w:p w:rsidR="00923B23" w:rsidRDefault="00923B23" w:rsidP="00D75B6B">
            <w:r>
              <w:t>Residents’ committee of retirement village residents</w:t>
            </w:r>
          </w:p>
        </w:tc>
        <w:tc>
          <w:tcPr>
            <w:tcW w:w="4329" w:type="dxa"/>
          </w:tcPr>
          <w:p w:rsidR="00923B23" w:rsidRDefault="00D75B6B" w:rsidP="00D75B6B">
            <w:r>
              <w:t xml:space="preserve">Clause unchanged in substance. Has been some re-arranging of clauses and minor reworking of some clauses and some clauses have had additional words inserted to clarify the intention without changing the substance. </w:t>
            </w:r>
            <w:r w:rsidR="001C4C30">
              <w:br/>
              <w:t>(FR Rec. 61)</w:t>
            </w:r>
          </w:p>
        </w:tc>
      </w:tr>
      <w:tr w:rsidR="00923B23" w:rsidTr="00D75B6B">
        <w:tc>
          <w:tcPr>
            <w:tcW w:w="0" w:type="auto"/>
            <w:tcMar>
              <w:top w:w="0" w:type="dxa"/>
              <w:left w:w="108" w:type="dxa"/>
              <w:bottom w:w="0" w:type="dxa"/>
              <w:right w:w="108" w:type="dxa"/>
            </w:tcMar>
            <w:hideMark/>
          </w:tcPr>
          <w:p w:rsidR="00923B23" w:rsidRDefault="00923B23" w:rsidP="00D75B6B">
            <w:r>
              <w:t>n/a</w:t>
            </w:r>
          </w:p>
        </w:tc>
        <w:tc>
          <w:tcPr>
            <w:tcW w:w="0" w:type="auto"/>
            <w:tcMar>
              <w:top w:w="0" w:type="dxa"/>
              <w:left w:w="108" w:type="dxa"/>
              <w:bottom w:w="0" w:type="dxa"/>
              <w:right w:w="108" w:type="dxa"/>
            </w:tcMar>
            <w:hideMark/>
          </w:tcPr>
          <w:p w:rsidR="00923B23" w:rsidRDefault="00923B23" w:rsidP="00D75B6B">
            <w:r>
              <w:t>25</w:t>
            </w:r>
          </w:p>
        </w:tc>
        <w:tc>
          <w:tcPr>
            <w:tcW w:w="3653" w:type="dxa"/>
            <w:tcMar>
              <w:top w:w="0" w:type="dxa"/>
              <w:left w:w="108" w:type="dxa"/>
              <w:bottom w:w="0" w:type="dxa"/>
              <w:right w:w="108" w:type="dxa"/>
            </w:tcMar>
            <w:hideMark/>
          </w:tcPr>
          <w:p w:rsidR="00923B23" w:rsidRDefault="00923B23" w:rsidP="00D75B6B">
            <w:r>
              <w:t>n/a</w:t>
            </w:r>
          </w:p>
        </w:tc>
        <w:tc>
          <w:tcPr>
            <w:tcW w:w="3267" w:type="dxa"/>
          </w:tcPr>
          <w:p w:rsidR="00923B23" w:rsidRDefault="00923B23" w:rsidP="00D75B6B">
            <w:r>
              <w:t>Incorporated association formed to carry out function of residents’ committee</w:t>
            </w:r>
          </w:p>
        </w:tc>
        <w:tc>
          <w:tcPr>
            <w:tcW w:w="4329" w:type="dxa"/>
          </w:tcPr>
          <w:p w:rsidR="003B15CD" w:rsidRDefault="00923B23" w:rsidP="00D75B6B">
            <w:r>
              <w:t xml:space="preserve">New clause which enables residents to </w:t>
            </w:r>
            <w:r w:rsidR="00D75B6B">
              <w:t>confer the function of a residents’ committee on</w:t>
            </w:r>
            <w:r>
              <w:t xml:space="preserve"> an incorporated association</w:t>
            </w:r>
            <w:r w:rsidR="00D75B6B">
              <w:t>.</w:t>
            </w:r>
            <w:r>
              <w:t xml:space="preserve"> </w:t>
            </w:r>
            <w:r w:rsidR="001C4C30">
              <w:t>(</w:t>
            </w:r>
            <w:r w:rsidR="003B15CD">
              <w:t>FR rec. 61 3</w:t>
            </w:r>
            <w:r w:rsidR="003B15CD" w:rsidRPr="003B15CD">
              <w:rPr>
                <w:vertAlign w:val="superscript"/>
              </w:rPr>
              <w:t>rd</w:t>
            </w:r>
            <w:r w:rsidR="003B15CD">
              <w:t xml:space="preserve"> dot point</w:t>
            </w:r>
            <w:r w:rsidR="001C4C30">
              <w:t>)</w:t>
            </w:r>
          </w:p>
        </w:tc>
      </w:tr>
      <w:tr w:rsidR="00923B23" w:rsidTr="00D75B6B">
        <w:tc>
          <w:tcPr>
            <w:tcW w:w="0" w:type="auto"/>
            <w:tcMar>
              <w:top w:w="0" w:type="dxa"/>
              <w:left w:w="108" w:type="dxa"/>
              <w:bottom w:w="0" w:type="dxa"/>
              <w:right w:w="108" w:type="dxa"/>
            </w:tcMar>
          </w:tcPr>
          <w:p w:rsidR="00923B23" w:rsidRDefault="00923B23" w:rsidP="00D75B6B">
            <w:r>
              <w:t>5.11</w:t>
            </w:r>
          </w:p>
        </w:tc>
        <w:tc>
          <w:tcPr>
            <w:tcW w:w="0" w:type="auto"/>
            <w:tcMar>
              <w:top w:w="0" w:type="dxa"/>
              <w:left w:w="108" w:type="dxa"/>
              <w:bottom w:w="0" w:type="dxa"/>
              <w:right w:w="108" w:type="dxa"/>
            </w:tcMar>
          </w:tcPr>
          <w:p w:rsidR="00923B23" w:rsidRDefault="00923B23" w:rsidP="00D75B6B">
            <w:r>
              <w:t>26</w:t>
            </w:r>
          </w:p>
        </w:tc>
        <w:tc>
          <w:tcPr>
            <w:tcW w:w="3653" w:type="dxa"/>
            <w:tcMar>
              <w:top w:w="0" w:type="dxa"/>
              <w:left w:w="108" w:type="dxa"/>
              <w:bottom w:w="0" w:type="dxa"/>
              <w:right w:w="108" w:type="dxa"/>
            </w:tcMar>
          </w:tcPr>
          <w:p w:rsidR="00923B23" w:rsidRDefault="00923B23" w:rsidP="00D75B6B">
            <w:r>
              <w:t>Residents’ meetings</w:t>
            </w:r>
          </w:p>
        </w:tc>
        <w:tc>
          <w:tcPr>
            <w:tcW w:w="3267" w:type="dxa"/>
          </w:tcPr>
          <w:p w:rsidR="00923B23" w:rsidRDefault="00923B23" w:rsidP="00D75B6B">
            <w:r>
              <w:t>Residents’ meetings</w:t>
            </w:r>
          </w:p>
        </w:tc>
        <w:tc>
          <w:tcPr>
            <w:tcW w:w="4329" w:type="dxa"/>
          </w:tcPr>
          <w:p w:rsidR="006A1477" w:rsidRDefault="006A1477" w:rsidP="006A1477">
            <w:r>
              <w:t xml:space="preserve">Existing clause 5.11 unchanged in substance. Additional clauses have been inserted to: </w:t>
            </w:r>
          </w:p>
          <w:p w:rsidR="00923B23" w:rsidRDefault="006A1477" w:rsidP="006A1477">
            <w:pPr>
              <w:pStyle w:val="ListParagraph"/>
              <w:numPr>
                <w:ilvl w:val="0"/>
                <w:numId w:val="1"/>
              </w:numPr>
              <w:ind w:left="360" w:hanging="283"/>
            </w:pPr>
            <w:r>
              <w:t>clarify the rights of residents to meet on any issue (cl.26(4));</w:t>
            </w:r>
          </w:p>
          <w:p w:rsidR="006A1477" w:rsidRDefault="006A1477" w:rsidP="006A1477">
            <w:pPr>
              <w:pStyle w:val="ListParagraph"/>
              <w:numPr>
                <w:ilvl w:val="0"/>
                <w:numId w:val="1"/>
              </w:numPr>
              <w:ind w:left="360" w:hanging="283"/>
            </w:pPr>
            <w:r>
              <w:t xml:space="preserve">insert a mechanism for </w:t>
            </w:r>
            <w:r w:rsidR="00F52D37">
              <w:t xml:space="preserve">a nominated resident at a meeting </w:t>
            </w:r>
            <w:r>
              <w:t>to provide residents with copies of any special resolution passed at the meeting;</w:t>
            </w:r>
          </w:p>
          <w:p w:rsidR="006A1477" w:rsidRDefault="006A1477" w:rsidP="006A1477">
            <w:pPr>
              <w:pStyle w:val="ListParagraph"/>
              <w:numPr>
                <w:ilvl w:val="0"/>
                <w:numId w:val="1"/>
              </w:numPr>
              <w:ind w:left="360" w:hanging="283"/>
            </w:pPr>
            <w:r>
              <w:t xml:space="preserve">provide a process by which residents can obtain a copy of a special resolution passed at a meeting </w:t>
            </w:r>
            <w:r w:rsidR="00F52D37">
              <w:t xml:space="preserve">on request </w:t>
            </w:r>
            <w:r>
              <w:t xml:space="preserve">from the administering body or from the resident </w:t>
            </w:r>
            <w:r w:rsidR="00F52D37">
              <w:t>who holds a copy of the special resolution;</w:t>
            </w:r>
          </w:p>
          <w:p w:rsidR="00F52D37" w:rsidRDefault="00F52D37" w:rsidP="006A1477">
            <w:pPr>
              <w:pStyle w:val="ListParagraph"/>
              <w:numPr>
                <w:ilvl w:val="0"/>
                <w:numId w:val="1"/>
              </w:numPr>
              <w:ind w:left="360" w:hanging="283"/>
            </w:pPr>
            <w:r>
              <w:t>clarifying that voting at a meeting may be by secret ballot;</w:t>
            </w:r>
          </w:p>
          <w:p w:rsidR="00F52D37" w:rsidRDefault="00F52D37" w:rsidP="006A1477">
            <w:pPr>
              <w:pStyle w:val="ListParagraph"/>
              <w:numPr>
                <w:ilvl w:val="0"/>
                <w:numId w:val="1"/>
              </w:numPr>
              <w:ind w:left="360" w:hanging="283"/>
            </w:pPr>
            <w:r>
              <w:t>clarifying the capacity for an administering body to be present at a meeting at which a special resolution is to be held</w:t>
            </w:r>
            <w:r w:rsidR="006B7F99">
              <w:t>;</w:t>
            </w:r>
          </w:p>
          <w:p w:rsidR="006176DE" w:rsidRDefault="006B7F99" w:rsidP="006176DE">
            <w:pPr>
              <w:pStyle w:val="ListParagraph"/>
              <w:numPr>
                <w:ilvl w:val="0"/>
                <w:numId w:val="1"/>
              </w:numPr>
              <w:ind w:left="360" w:hanging="283"/>
            </w:pPr>
            <w:r>
              <w:t xml:space="preserve">clarifying the capacity for residents to decide by a majority of those present that the administering body must leave the meeting at which a special resolution is to </w:t>
            </w:r>
            <w:r>
              <w:lastRenderedPageBreak/>
              <w:t>be held.</w:t>
            </w:r>
          </w:p>
        </w:tc>
      </w:tr>
      <w:tr w:rsidR="00923B23" w:rsidTr="00D75B6B">
        <w:tc>
          <w:tcPr>
            <w:tcW w:w="0" w:type="auto"/>
            <w:tcMar>
              <w:top w:w="0" w:type="dxa"/>
              <w:left w:w="108" w:type="dxa"/>
              <w:bottom w:w="0" w:type="dxa"/>
              <w:right w:w="108" w:type="dxa"/>
            </w:tcMar>
            <w:hideMark/>
          </w:tcPr>
          <w:p w:rsidR="00923B23" w:rsidRDefault="00923B23" w:rsidP="00D75B6B">
            <w:r>
              <w:lastRenderedPageBreak/>
              <w:t>5.12</w:t>
            </w:r>
          </w:p>
        </w:tc>
        <w:tc>
          <w:tcPr>
            <w:tcW w:w="0" w:type="auto"/>
            <w:tcMar>
              <w:top w:w="0" w:type="dxa"/>
              <w:left w:w="108" w:type="dxa"/>
              <w:bottom w:w="0" w:type="dxa"/>
              <w:right w:w="108" w:type="dxa"/>
            </w:tcMar>
            <w:hideMark/>
          </w:tcPr>
          <w:p w:rsidR="00923B23" w:rsidRDefault="00923B23" w:rsidP="00D75B6B">
            <w:r>
              <w:t>27</w:t>
            </w:r>
          </w:p>
        </w:tc>
        <w:tc>
          <w:tcPr>
            <w:tcW w:w="3653" w:type="dxa"/>
            <w:tcMar>
              <w:top w:w="0" w:type="dxa"/>
              <w:left w:w="108" w:type="dxa"/>
              <w:bottom w:w="0" w:type="dxa"/>
              <w:right w:w="108" w:type="dxa"/>
            </w:tcMar>
            <w:hideMark/>
          </w:tcPr>
          <w:p w:rsidR="00923B23" w:rsidRDefault="00923B23" w:rsidP="00D75B6B">
            <w:r>
              <w:t>Proxy voting</w:t>
            </w:r>
          </w:p>
        </w:tc>
        <w:tc>
          <w:tcPr>
            <w:tcW w:w="3267" w:type="dxa"/>
          </w:tcPr>
          <w:p w:rsidR="00923B23" w:rsidRDefault="00923B23" w:rsidP="00D75B6B">
            <w:r>
              <w:t>Proxy voting</w:t>
            </w:r>
          </w:p>
        </w:tc>
        <w:tc>
          <w:tcPr>
            <w:tcW w:w="4329" w:type="dxa"/>
          </w:tcPr>
          <w:p w:rsidR="00923B23" w:rsidRDefault="00F87BE7" w:rsidP="00F87BE7">
            <w:r>
              <w:t xml:space="preserve">Existing clause 5.12 unchanged except that definitions of </w:t>
            </w:r>
            <w:r w:rsidR="001D1809">
              <w:t>the terms</w:t>
            </w:r>
            <w:r w:rsidR="00923B23">
              <w:t xml:space="preserve"> </w:t>
            </w:r>
            <w:r w:rsidR="00AA337D">
              <w:t>‘</w:t>
            </w:r>
            <w:r w:rsidR="00923B23">
              <w:t>close associate</w:t>
            </w:r>
            <w:r w:rsidR="00AA337D">
              <w:t>’</w:t>
            </w:r>
            <w:r w:rsidR="00923B23">
              <w:t xml:space="preserve"> in relation to an administering body, </w:t>
            </w:r>
            <w:r w:rsidR="00AA337D">
              <w:t>‘</w:t>
            </w:r>
            <w:r w:rsidR="00923B23">
              <w:t>proxy notice</w:t>
            </w:r>
            <w:r w:rsidR="00AA337D">
              <w:t>’</w:t>
            </w:r>
            <w:r w:rsidR="00923B23">
              <w:t xml:space="preserve">, </w:t>
            </w:r>
            <w:r w:rsidR="00AA337D">
              <w:t>‘</w:t>
            </w:r>
            <w:r w:rsidR="00923B23">
              <w:t>related body corporate</w:t>
            </w:r>
            <w:r w:rsidR="00AA337D">
              <w:t>’</w:t>
            </w:r>
            <w:r w:rsidR="00923B23">
              <w:t xml:space="preserve"> and </w:t>
            </w:r>
            <w:r w:rsidR="00AA337D">
              <w:t>‘</w:t>
            </w:r>
            <w:r w:rsidR="00923B23">
              <w:t>voting resident</w:t>
            </w:r>
            <w:r w:rsidR="00AA337D">
              <w:t>’</w:t>
            </w:r>
            <w:r w:rsidR="001D1809">
              <w:t xml:space="preserve"> </w:t>
            </w:r>
            <w:r>
              <w:t>have been inserted.</w:t>
            </w:r>
          </w:p>
        </w:tc>
      </w:tr>
      <w:tr w:rsidR="00923B23" w:rsidTr="00D75B6B">
        <w:tc>
          <w:tcPr>
            <w:tcW w:w="0" w:type="auto"/>
            <w:tcMar>
              <w:top w:w="0" w:type="dxa"/>
              <w:left w:w="108" w:type="dxa"/>
              <w:bottom w:w="0" w:type="dxa"/>
              <w:right w:w="108" w:type="dxa"/>
            </w:tcMar>
            <w:hideMark/>
          </w:tcPr>
          <w:p w:rsidR="00923B23" w:rsidRDefault="00923B23" w:rsidP="00D75B6B">
            <w:r>
              <w:t>n/a</w:t>
            </w:r>
          </w:p>
        </w:tc>
        <w:tc>
          <w:tcPr>
            <w:tcW w:w="0" w:type="auto"/>
            <w:tcMar>
              <w:top w:w="0" w:type="dxa"/>
              <w:left w:w="108" w:type="dxa"/>
              <w:bottom w:w="0" w:type="dxa"/>
              <w:right w:w="108" w:type="dxa"/>
            </w:tcMar>
            <w:hideMark/>
          </w:tcPr>
          <w:p w:rsidR="00923B23" w:rsidRDefault="00923B23" w:rsidP="00D75B6B">
            <w:r>
              <w:t>28</w:t>
            </w:r>
          </w:p>
        </w:tc>
        <w:tc>
          <w:tcPr>
            <w:tcW w:w="3653" w:type="dxa"/>
            <w:tcMar>
              <w:top w:w="0" w:type="dxa"/>
              <w:left w:w="108" w:type="dxa"/>
              <w:bottom w:w="0" w:type="dxa"/>
              <w:right w:w="108" w:type="dxa"/>
            </w:tcMar>
            <w:hideMark/>
          </w:tcPr>
          <w:p w:rsidR="00923B23" w:rsidRDefault="00923B23" w:rsidP="00D75B6B">
            <w:r>
              <w:t>n/a</w:t>
            </w:r>
          </w:p>
        </w:tc>
        <w:tc>
          <w:tcPr>
            <w:tcW w:w="3267" w:type="dxa"/>
          </w:tcPr>
          <w:p w:rsidR="00923B23" w:rsidRDefault="00923B23" w:rsidP="00D75B6B">
            <w:r>
              <w:t>Voting by secret ballot</w:t>
            </w:r>
          </w:p>
        </w:tc>
        <w:tc>
          <w:tcPr>
            <w:tcW w:w="4329" w:type="dxa"/>
          </w:tcPr>
          <w:p w:rsidR="006176DE" w:rsidRDefault="00923B23" w:rsidP="00F87BE7">
            <w:r>
              <w:t xml:space="preserve">New clause </w:t>
            </w:r>
            <w:r w:rsidR="001D1809">
              <w:t xml:space="preserve">inserted </w:t>
            </w:r>
            <w:r>
              <w:t xml:space="preserve">to enable voting by secret ballot if more than one resident or proxy at a meeting of the residents calls for, or supports, a secret ballot. </w:t>
            </w:r>
            <w:r w:rsidR="001D1809">
              <w:t>RV Code i</w:t>
            </w:r>
            <w:r>
              <w:t xml:space="preserve">ncludes guidelines </w:t>
            </w:r>
            <w:r w:rsidR="00F87BE7">
              <w:t xml:space="preserve">on how a secret ballot may be </w:t>
            </w:r>
            <w:r>
              <w:t>conduct</w:t>
            </w:r>
            <w:r w:rsidR="00F87BE7">
              <w:t>ed.</w:t>
            </w:r>
            <w:r w:rsidR="00BA1F52">
              <w:t xml:space="preserve"> </w:t>
            </w:r>
            <w:r w:rsidR="00BA1F52">
              <w:br/>
              <w:t>(</w:t>
            </w:r>
            <w:r w:rsidR="006176DE">
              <w:t>FR rec. 64</w:t>
            </w:r>
            <w:r w:rsidR="00BA1F52">
              <w:t>)</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69173D" w:rsidRDefault="00923B23" w:rsidP="00D75B6B">
            <w:pPr>
              <w:rPr>
                <w:b/>
                <w:i/>
              </w:rPr>
            </w:pPr>
            <w:r w:rsidRPr="0069173D">
              <w:rPr>
                <w:b/>
                <w:i/>
              </w:rPr>
              <w:t>Division 6 – Dispute resolution</w:t>
            </w:r>
          </w:p>
        </w:tc>
      </w:tr>
      <w:tr w:rsidR="00923B23" w:rsidTr="00D75B6B">
        <w:tc>
          <w:tcPr>
            <w:tcW w:w="0" w:type="auto"/>
            <w:tcMar>
              <w:top w:w="0" w:type="dxa"/>
              <w:left w:w="108" w:type="dxa"/>
              <w:bottom w:w="0" w:type="dxa"/>
              <w:right w:w="108" w:type="dxa"/>
            </w:tcMar>
            <w:hideMark/>
          </w:tcPr>
          <w:p w:rsidR="00923B23" w:rsidRDefault="00923B23" w:rsidP="00D75B6B">
            <w:r>
              <w:t>6.1</w:t>
            </w:r>
          </w:p>
        </w:tc>
        <w:tc>
          <w:tcPr>
            <w:tcW w:w="0" w:type="auto"/>
            <w:tcMar>
              <w:top w:w="0" w:type="dxa"/>
              <w:left w:w="108" w:type="dxa"/>
              <w:bottom w:w="0" w:type="dxa"/>
              <w:right w:w="108" w:type="dxa"/>
            </w:tcMar>
            <w:hideMark/>
          </w:tcPr>
          <w:p w:rsidR="00923B23" w:rsidRDefault="00923B23" w:rsidP="00D75B6B">
            <w:r>
              <w:t>29</w:t>
            </w:r>
          </w:p>
        </w:tc>
        <w:tc>
          <w:tcPr>
            <w:tcW w:w="3653" w:type="dxa"/>
            <w:tcMar>
              <w:top w:w="0" w:type="dxa"/>
              <w:left w:w="108" w:type="dxa"/>
              <w:bottom w:w="0" w:type="dxa"/>
              <w:right w:w="108" w:type="dxa"/>
            </w:tcMar>
            <w:hideMark/>
          </w:tcPr>
          <w:p w:rsidR="00923B23" w:rsidRDefault="00923B23" w:rsidP="00D75B6B">
            <w:r>
              <w:t>Interpretation</w:t>
            </w:r>
          </w:p>
        </w:tc>
        <w:tc>
          <w:tcPr>
            <w:tcW w:w="3267" w:type="dxa"/>
          </w:tcPr>
          <w:p w:rsidR="00923B23" w:rsidRDefault="00923B23" w:rsidP="00D75B6B">
            <w:r>
              <w:t>Terms used</w:t>
            </w:r>
          </w:p>
        </w:tc>
        <w:tc>
          <w:tcPr>
            <w:tcW w:w="4329" w:type="dxa"/>
          </w:tcPr>
          <w:p w:rsidR="00923B23" w:rsidRPr="00CA4094" w:rsidRDefault="00F87BE7" w:rsidP="00F87BE7">
            <w:r>
              <w:t xml:space="preserve">Clause 6.1 unchanged except </w:t>
            </w:r>
            <w:r w:rsidR="00923B23">
              <w:t xml:space="preserve">definition of the term </w:t>
            </w:r>
            <w:r w:rsidR="00AA337D">
              <w:t>‘</w:t>
            </w:r>
            <w:r w:rsidR="00923B23">
              <w:t>retirement village dispute</w:t>
            </w:r>
            <w:r w:rsidR="00AA337D">
              <w:t>’</w:t>
            </w:r>
            <w:r>
              <w:t xml:space="preserve"> inserted</w:t>
            </w:r>
            <w:r w:rsidR="00923B23">
              <w:t>.</w:t>
            </w:r>
            <w:r w:rsidR="00CA4094">
              <w:t xml:space="preserve"> The definition clarifies that the dispute process in the Code does not apply to a dispute that may be determined by the State Administrative Tribunal under the </w:t>
            </w:r>
            <w:r w:rsidR="00CA4094">
              <w:rPr>
                <w:i/>
              </w:rPr>
              <w:t>Retirement Villages Act 1992</w:t>
            </w:r>
            <w:r w:rsidR="00CA4094">
              <w:t>.</w:t>
            </w:r>
          </w:p>
        </w:tc>
      </w:tr>
      <w:tr w:rsidR="00923B23" w:rsidTr="00D75B6B">
        <w:tc>
          <w:tcPr>
            <w:tcW w:w="0" w:type="auto"/>
            <w:tcMar>
              <w:top w:w="0" w:type="dxa"/>
              <w:left w:w="108" w:type="dxa"/>
              <w:bottom w:w="0" w:type="dxa"/>
              <w:right w:w="108" w:type="dxa"/>
            </w:tcMar>
            <w:hideMark/>
          </w:tcPr>
          <w:p w:rsidR="00923B23" w:rsidRDefault="00923B23" w:rsidP="00D75B6B">
            <w:r>
              <w:t>6.2</w:t>
            </w:r>
          </w:p>
        </w:tc>
        <w:tc>
          <w:tcPr>
            <w:tcW w:w="0" w:type="auto"/>
            <w:tcMar>
              <w:top w:w="0" w:type="dxa"/>
              <w:left w:w="108" w:type="dxa"/>
              <w:bottom w:w="0" w:type="dxa"/>
              <w:right w:w="108" w:type="dxa"/>
            </w:tcMar>
            <w:hideMark/>
          </w:tcPr>
          <w:p w:rsidR="00923B23" w:rsidRDefault="00923B23" w:rsidP="00D75B6B">
            <w:r>
              <w:t>30</w:t>
            </w:r>
          </w:p>
        </w:tc>
        <w:tc>
          <w:tcPr>
            <w:tcW w:w="3653" w:type="dxa"/>
            <w:tcMar>
              <w:top w:w="0" w:type="dxa"/>
              <w:left w:w="108" w:type="dxa"/>
              <w:bottom w:w="0" w:type="dxa"/>
              <w:right w:w="108" w:type="dxa"/>
            </w:tcMar>
            <w:hideMark/>
          </w:tcPr>
          <w:p w:rsidR="00923B23" w:rsidRDefault="00923B23" w:rsidP="00D75B6B">
            <w:r>
              <w:t>Village dispute process</w:t>
            </w:r>
          </w:p>
        </w:tc>
        <w:tc>
          <w:tcPr>
            <w:tcW w:w="3267" w:type="dxa"/>
          </w:tcPr>
          <w:p w:rsidR="00923B23" w:rsidRDefault="00923B23" w:rsidP="00D75B6B">
            <w:r>
              <w:t>Village dispute resolution process</w:t>
            </w:r>
          </w:p>
        </w:tc>
        <w:tc>
          <w:tcPr>
            <w:tcW w:w="4329" w:type="dxa"/>
          </w:tcPr>
          <w:p w:rsidR="006176DE" w:rsidRDefault="00CA4094" w:rsidP="00CA4094">
            <w:r>
              <w:t xml:space="preserve">Clause 6.2 unchanged except for minor reworking &amp; re-ordering of some clauses. Clause 6.2(a) has been amended slightly to clarify that when nominating a person to assist the parties to resolve the dispute the person must be acceptable to all parties. </w:t>
            </w:r>
            <w:r w:rsidR="00BA1F52">
              <w:t>(</w:t>
            </w:r>
            <w:r w:rsidR="006176DE">
              <w:t>FR rec. 68</w:t>
            </w:r>
            <w:r w:rsidR="00BA1F52">
              <w:t>)</w:t>
            </w:r>
          </w:p>
        </w:tc>
      </w:tr>
      <w:tr w:rsidR="00923B23" w:rsidTr="00D75B6B">
        <w:tc>
          <w:tcPr>
            <w:tcW w:w="0" w:type="auto"/>
            <w:tcMar>
              <w:top w:w="0" w:type="dxa"/>
              <w:left w:w="108" w:type="dxa"/>
              <w:bottom w:w="0" w:type="dxa"/>
              <w:right w:w="108" w:type="dxa"/>
            </w:tcMar>
            <w:hideMark/>
          </w:tcPr>
          <w:p w:rsidR="00923B23" w:rsidRDefault="00923B23" w:rsidP="00D75B6B">
            <w:r>
              <w:t>6.3</w:t>
            </w:r>
          </w:p>
        </w:tc>
        <w:tc>
          <w:tcPr>
            <w:tcW w:w="0" w:type="auto"/>
            <w:tcMar>
              <w:top w:w="0" w:type="dxa"/>
              <w:left w:w="108" w:type="dxa"/>
              <w:bottom w:w="0" w:type="dxa"/>
              <w:right w:w="108" w:type="dxa"/>
            </w:tcMar>
            <w:hideMark/>
          </w:tcPr>
          <w:p w:rsidR="00923B23" w:rsidRDefault="00923B23" w:rsidP="00D75B6B">
            <w:r>
              <w:t>31</w:t>
            </w:r>
          </w:p>
        </w:tc>
        <w:tc>
          <w:tcPr>
            <w:tcW w:w="3653" w:type="dxa"/>
            <w:tcMar>
              <w:top w:w="0" w:type="dxa"/>
              <w:left w:w="108" w:type="dxa"/>
              <w:bottom w:w="0" w:type="dxa"/>
              <w:right w:w="108" w:type="dxa"/>
            </w:tcMar>
            <w:hideMark/>
          </w:tcPr>
          <w:p w:rsidR="00923B23" w:rsidRDefault="00923B23" w:rsidP="00D75B6B">
            <w:r>
              <w:t>Mediation of dispute</w:t>
            </w:r>
          </w:p>
        </w:tc>
        <w:tc>
          <w:tcPr>
            <w:tcW w:w="3267" w:type="dxa"/>
          </w:tcPr>
          <w:p w:rsidR="00923B23" w:rsidRDefault="00923B23" w:rsidP="00D75B6B">
            <w:r>
              <w:t>Mediation of dispute</w:t>
            </w:r>
          </w:p>
        </w:tc>
        <w:tc>
          <w:tcPr>
            <w:tcW w:w="4329" w:type="dxa"/>
          </w:tcPr>
          <w:p w:rsidR="00923B23" w:rsidRDefault="00CA4094" w:rsidP="00D75B6B">
            <w:r>
              <w:t>Clause 6.3 unchanged</w:t>
            </w:r>
            <w:r w:rsidR="00923B23">
              <w:t>.</w:t>
            </w:r>
          </w:p>
        </w:tc>
      </w:tr>
      <w:tr w:rsidR="00923B23" w:rsidTr="00D75B6B">
        <w:tc>
          <w:tcPr>
            <w:tcW w:w="0" w:type="auto"/>
            <w:tcMar>
              <w:top w:w="0" w:type="dxa"/>
              <w:left w:w="108" w:type="dxa"/>
              <w:bottom w:w="0" w:type="dxa"/>
              <w:right w:w="108" w:type="dxa"/>
            </w:tcMar>
            <w:hideMark/>
          </w:tcPr>
          <w:p w:rsidR="00923B23" w:rsidRDefault="00923B23" w:rsidP="00D75B6B">
            <w:r>
              <w:t>n/a</w:t>
            </w:r>
          </w:p>
        </w:tc>
        <w:tc>
          <w:tcPr>
            <w:tcW w:w="0" w:type="auto"/>
            <w:tcMar>
              <w:top w:w="0" w:type="dxa"/>
              <w:left w:w="108" w:type="dxa"/>
              <w:bottom w:w="0" w:type="dxa"/>
              <w:right w:w="108" w:type="dxa"/>
            </w:tcMar>
            <w:hideMark/>
          </w:tcPr>
          <w:p w:rsidR="00923B23" w:rsidRDefault="00923B23" w:rsidP="00D75B6B">
            <w:r>
              <w:t>32</w:t>
            </w:r>
          </w:p>
        </w:tc>
        <w:tc>
          <w:tcPr>
            <w:tcW w:w="3653" w:type="dxa"/>
            <w:tcMar>
              <w:top w:w="0" w:type="dxa"/>
              <w:left w:w="108" w:type="dxa"/>
              <w:bottom w:w="0" w:type="dxa"/>
              <w:right w:w="108" w:type="dxa"/>
            </w:tcMar>
            <w:hideMark/>
          </w:tcPr>
          <w:p w:rsidR="00923B23" w:rsidRDefault="00923B23" w:rsidP="00D75B6B">
            <w:r>
              <w:t>n/a</w:t>
            </w:r>
          </w:p>
        </w:tc>
        <w:tc>
          <w:tcPr>
            <w:tcW w:w="3267" w:type="dxa"/>
          </w:tcPr>
          <w:p w:rsidR="00923B23" w:rsidRDefault="00923B23" w:rsidP="00D75B6B">
            <w:r>
              <w:t>Costs associated with dispute resolution process</w:t>
            </w:r>
          </w:p>
        </w:tc>
        <w:tc>
          <w:tcPr>
            <w:tcW w:w="4329" w:type="dxa"/>
          </w:tcPr>
          <w:p w:rsidR="00923B23" w:rsidRDefault="00CA4094" w:rsidP="004543E5">
            <w:r>
              <w:t>Clause 32 ha</w:t>
            </w:r>
            <w:r w:rsidR="004543E5">
              <w:t xml:space="preserve">s been inserted to clarify who is responsible for the costs incurred in relation to the dispute process under clause 30. </w:t>
            </w:r>
          </w:p>
        </w:tc>
      </w:tr>
      <w:tr w:rsidR="00923B23" w:rsidTr="00D75B6B">
        <w:tc>
          <w:tcPr>
            <w:tcW w:w="0" w:type="auto"/>
            <w:tcMar>
              <w:top w:w="0" w:type="dxa"/>
              <w:left w:w="108" w:type="dxa"/>
              <w:bottom w:w="0" w:type="dxa"/>
              <w:right w:w="108" w:type="dxa"/>
            </w:tcMar>
          </w:tcPr>
          <w:p w:rsidR="00923B23" w:rsidRDefault="00923B23" w:rsidP="00D75B6B">
            <w:r>
              <w:t>n/a</w:t>
            </w:r>
          </w:p>
        </w:tc>
        <w:tc>
          <w:tcPr>
            <w:tcW w:w="0" w:type="auto"/>
            <w:tcMar>
              <w:top w:w="0" w:type="dxa"/>
              <w:left w:w="108" w:type="dxa"/>
              <w:bottom w:w="0" w:type="dxa"/>
              <w:right w:w="108" w:type="dxa"/>
            </w:tcMar>
          </w:tcPr>
          <w:p w:rsidR="00923B23" w:rsidRDefault="00923B23" w:rsidP="00D75B6B">
            <w:r>
              <w:t>33</w:t>
            </w:r>
          </w:p>
        </w:tc>
        <w:tc>
          <w:tcPr>
            <w:tcW w:w="3653" w:type="dxa"/>
            <w:tcMar>
              <w:top w:w="0" w:type="dxa"/>
              <w:left w:w="108" w:type="dxa"/>
              <w:bottom w:w="0" w:type="dxa"/>
              <w:right w:w="108" w:type="dxa"/>
            </w:tcMar>
          </w:tcPr>
          <w:p w:rsidR="00923B23" w:rsidRDefault="00923B23" w:rsidP="00D75B6B">
            <w:r>
              <w:t>n/a</w:t>
            </w:r>
          </w:p>
        </w:tc>
        <w:tc>
          <w:tcPr>
            <w:tcW w:w="3267" w:type="dxa"/>
          </w:tcPr>
          <w:p w:rsidR="00923B23" w:rsidRDefault="00923B23" w:rsidP="00D75B6B">
            <w:r>
              <w:t xml:space="preserve">Costs associated </w:t>
            </w:r>
            <w:r w:rsidR="000B31E1">
              <w:t>with C</w:t>
            </w:r>
            <w:r>
              <w:t>ommissioner – appointed mediation</w:t>
            </w:r>
          </w:p>
        </w:tc>
        <w:tc>
          <w:tcPr>
            <w:tcW w:w="4329" w:type="dxa"/>
          </w:tcPr>
          <w:p w:rsidR="006176DE" w:rsidRDefault="004543E5" w:rsidP="004543E5">
            <w:r>
              <w:t xml:space="preserve">Clause 33 has been inserted to clarify that the costs of a mediation are to be shared equally between each of the parties to the dispute unless the Commissioner decides otherwise. In </w:t>
            </w:r>
            <w:r>
              <w:lastRenderedPageBreak/>
              <w:t xml:space="preserve">relation to the administering bodies share of those costs there is also a prohibition on the administering body recovering those costs from a resident or former resident or any other costs incurred as a result of the mediation of a dispute under clause 31. </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894F0E" w:rsidRDefault="00923B23" w:rsidP="00D75B6B">
            <w:pPr>
              <w:rPr>
                <w:b/>
                <w:i/>
              </w:rPr>
            </w:pPr>
            <w:r w:rsidRPr="00894F0E">
              <w:rPr>
                <w:b/>
                <w:i/>
              </w:rPr>
              <w:lastRenderedPageBreak/>
              <w:t>Division 7 – Termination of residence contracts</w:t>
            </w:r>
          </w:p>
        </w:tc>
      </w:tr>
      <w:tr w:rsidR="00923B23" w:rsidTr="00D75B6B">
        <w:tc>
          <w:tcPr>
            <w:tcW w:w="0" w:type="auto"/>
            <w:tcMar>
              <w:top w:w="0" w:type="dxa"/>
              <w:left w:w="108" w:type="dxa"/>
              <w:bottom w:w="0" w:type="dxa"/>
              <w:right w:w="108" w:type="dxa"/>
            </w:tcMar>
            <w:hideMark/>
          </w:tcPr>
          <w:p w:rsidR="00923B23" w:rsidRDefault="00923B23" w:rsidP="00D75B6B">
            <w:r>
              <w:t>7.1</w:t>
            </w:r>
          </w:p>
        </w:tc>
        <w:tc>
          <w:tcPr>
            <w:tcW w:w="0" w:type="auto"/>
            <w:tcMar>
              <w:top w:w="0" w:type="dxa"/>
              <w:left w:w="108" w:type="dxa"/>
              <w:bottom w:w="0" w:type="dxa"/>
              <w:right w:w="108" w:type="dxa"/>
            </w:tcMar>
            <w:hideMark/>
          </w:tcPr>
          <w:p w:rsidR="00923B23" w:rsidRDefault="00923B23" w:rsidP="00D75B6B">
            <w:r>
              <w:t>34</w:t>
            </w:r>
          </w:p>
        </w:tc>
        <w:tc>
          <w:tcPr>
            <w:tcW w:w="3653" w:type="dxa"/>
            <w:tcMar>
              <w:top w:w="0" w:type="dxa"/>
              <w:left w:w="108" w:type="dxa"/>
              <w:bottom w:w="0" w:type="dxa"/>
              <w:right w:w="108" w:type="dxa"/>
            </w:tcMar>
            <w:hideMark/>
          </w:tcPr>
          <w:p w:rsidR="00923B23" w:rsidRDefault="00923B23" w:rsidP="00D75B6B">
            <w:r>
              <w:t>Notice of intention to terminate</w:t>
            </w:r>
          </w:p>
        </w:tc>
        <w:tc>
          <w:tcPr>
            <w:tcW w:w="3267" w:type="dxa"/>
          </w:tcPr>
          <w:p w:rsidR="00923B23" w:rsidRDefault="00923B23" w:rsidP="00D75B6B">
            <w:r>
              <w:t>Notice of intention to terminate</w:t>
            </w:r>
          </w:p>
        </w:tc>
        <w:tc>
          <w:tcPr>
            <w:tcW w:w="4329" w:type="dxa"/>
          </w:tcPr>
          <w:p w:rsidR="00923B23" w:rsidRDefault="00903E7A" w:rsidP="00D75B6B">
            <w:r>
              <w:t>Clause unchanged</w:t>
            </w:r>
            <w:r w:rsidR="00923B23">
              <w:t>.</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894F0E" w:rsidRDefault="00923B23" w:rsidP="00D75B6B">
            <w:pPr>
              <w:rPr>
                <w:b/>
                <w:i/>
              </w:rPr>
            </w:pPr>
            <w:r w:rsidRPr="00894F0E">
              <w:rPr>
                <w:b/>
                <w:i/>
              </w:rPr>
              <w:t>Division 8 – Miscellaneous / Service of documents</w:t>
            </w:r>
          </w:p>
        </w:tc>
      </w:tr>
      <w:tr w:rsidR="00923B23" w:rsidTr="00D75B6B">
        <w:tc>
          <w:tcPr>
            <w:tcW w:w="0" w:type="auto"/>
            <w:tcMar>
              <w:top w:w="0" w:type="dxa"/>
              <w:left w:w="108" w:type="dxa"/>
              <w:bottom w:w="0" w:type="dxa"/>
              <w:right w:w="108" w:type="dxa"/>
            </w:tcMar>
            <w:hideMark/>
          </w:tcPr>
          <w:p w:rsidR="00923B23" w:rsidRDefault="00923B23" w:rsidP="00D75B6B">
            <w:r>
              <w:t>8.1</w:t>
            </w:r>
          </w:p>
        </w:tc>
        <w:tc>
          <w:tcPr>
            <w:tcW w:w="0" w:type="auto"/>
            <w:tcMar>
              <w:top w:w="0" w:type="dxa"/>
              <w:left w:w="108" w:type="dxa"/>
              <w:bottom w:w="0" w:type="dxa"/>
              <w:right w:w="108" w:type="dxa"/>
            </w:tcMar>
            <w:hideMark/>
          </w:tcPr>
          <w:p w:rsidR="00923B23" w:rsidRDefault="00923B23" w:rsidP="00D75B6B">
            <w:r>
              <w:t>35</w:t>
            </w:r>
          </w:p>
        </w:tc>
        <w:tc>
          <w:tcPr>
            <w:tcW w:w="3653" w:type="dxa"/>
            <w:tcMar>
              <w:top w:w="0" w:type="dxa"/>
              <w:left w:w="108" w:type="dxa"/>
              <w:bottom w:w="0" w:type="dxa"/>
              <w:right w:w="108" w:type="dxa"/>
            </w:tcMar>
            <w:hideMark/>
          </w:tcPr>
          <w:p w:rsidR="00923B23" w:rsidRDefault="00923B23" w:rsidP="00D75B6B">
            <w:r>
              <w:t>Service of documents</w:t>
            </w:r>
          </w:p>
        </w:tc>
        <w:tc>
          <w:tcPr>
            <w:tcW w:w="3267" w:type="dxa"/>
          </w:tcPr>
          <w:p w:rsidR="00923B23" w:rsidRDefault="00923B23" w:rsidP="00D75B6B">
            <w:r>
              <w:t>Service of documents</w:t>
            </w:r>
          </w:p>
        </w:tc>
        <w:tc>
          <w:tcPr>
            <w:tcW w:w="4329" w:type="dxa"/>
          </w:tcPr>
          <w:p w:rsidR="00923B23" w:rsidRDefault="00903E7A" w:rsidP="00D75B6B">
            <w:r>
              <w:t>Clause unchanged</w:t>
            </w:r>
            <w:r w:rsidR="00923B23">
              <w:t>.</w:t>
            </w:r>
          </w:p>
        </w:tc>
      </w:tr>
      <w:tr w:rsidR="00923B23" w:rsidTr="00D75B6B">
        <w:tc>
          <w:tcPr>
            <w:tcW w:w="14283" w:type="dxa"/>
            <w:gridSpan w:val="5"/>
            <w:shd w:val="clear" w:color="auto" w:fill="DBE5F1" w:themeFill="accent1" w:themeFillTint="33"/>
            <w:tcMar>
              <w:top w:w="0" w:type="dxa"/>
              <w:left w:w="108" w:type="dxa"/>
              <w:bottom w:w="0" w:type="dxa"/>
              <w:right w:w="108" w:type="dxa"/>
            </w:tcMar>
          </w:tcPr>
          <w:p w:rsidR="00923B23" w:rsidRPr="002F6B7B" w:rsidRDefault="00923B23" w:rsidP="00D75B6B">
            <w:pPr>
              <w:rPr>
                <w:b/>
                <w:i/>
              </w:rPr>
            </w:pPr>
            <w:r w:rsidRPr="002F6B7B">
              <w:rPr>
                <w:b/>
                <w:i/>
              </w:rPr>
              <w:t>Division 9 Transitional and saving</w:t>
            </w:r>
          </w:p>
        </w:tc>
      </w:tr>
      <w:tr w:rsidR="00923B23" w:rsidTr="00D75B6B">
        <w:tc>
          <w:tcPr>
            <w:tcW w:w="0" w:type="auto"/>
            <w:tcMar>
              <w:top w:w="0" w:type="dxa"/>
              <w:left w:w="108" w:type="dxa"/>
              <w:bottom w:w="0" w:type="dxa"/>
              <w:right w:w="108" w:type="dxa"/>
            </w:tcMar>
          </w:tcPr>
          <w:p w:rsidR="00923B23" w:rsidRDefault="00923B23" w:rsidP="00D75B6B">
            <w:r w:rsidRPr="00CE5353">
              <w:t>n/a</w:t>
            </w:r>
          </w:p>
        </w:tc>
        <w:tc>
          <w:tcPr>
            <w:tcW w:w="0" w:type="auto"/>
            <w:tcMar>
              <w:top w:w="0" w:type="dxa"/>
              <w:left w:w="108" w:type="dxa"/>
              <w:bottom w:w="0" w:type="dxa"/>
              <w:right w:w="108" w:type="dxa"/>
            </w:tcMar>
          </w:tcPr>
          <w:p w:rsidR="00923B23" w:rsidRDefault="00923B23" w:rsidP="00D75B6B">
            <w:r>
              <w:t>36</w:t>
            </w:r>
          </w:p>
        </w:tc>
        <w:tc>
          <w:tcPr>
            <w:tcW w:w="3653" w:type="dxa"/>
            <w:tcMar>
              <w:top w:w="0" w:type="dxa"/>
              <w:left w:w="108" w:type="dxa"/>
              <w:bottom w:w="0" w:type="dxa"/>
              <w:right w:w="108" w:type="dxa"/>
            </w:tcMar>
          </w:tcPr>
          <w:p w:rsidR="00923B23" w:rsidRDefault="00923B23" w:rsidP="00D75B6B">
            <w:r w:rsidRPr="006C36E8">
              <w:t>n/a</w:t>
            </w:r>
          </w:p>
        </w:tc>
        <w:tc>
          <w:tcPr>
            <w:tcW w:w="3267" w:type="dxa"/>
          </w:tcPr>
          <w:p w:rsidR="00923B23" w:rsidRDefault="00923B23" w:rsidP="00D75B6B">
            <w:r>
              <w:t>Residence and service contracts</w:t>
            </w:r>
          </w:p>
        </w:tc>
        <w:tc>
          <w:tcPr>
            <w:tcW w:w="4329" w:type="dxa"/>
          </w:tcPr>
          <w:p w:rsidR="00923B23" w:rsidRDefault="00923B23" w:rsidP="004543E5">
            <w:r>
              <w:t>RV Code provides that Divisions 3 and 4 of the Interim</w:t>
            </w:r>
            <w:r w:rsidR="00903E7A">
              <w:t xml:space="preserve"> Code (i</w:t>
            </w:r>
            <w:r w:rsidR="00BA1F52">
              <w:t>.</w:t>
            </w:r>
            <w:r w:rsidR="00903E7A">
              <w:t>e</w:t>
            </w:r>
            <w:r w:rsidR="00BA1F52">
              <w:t>.</w:t>
            </w:r>
            <w:r w:rsidR="00903E7A">
              <w:t xml:space="preserve"> clauses 3.1, 3.2, 4.1,</w:t>
            </w:r>
            <w:r w:rsidR="004543E5">
              <w:t xml:space="preserve"> 4.2, 4.3, 4.4 and 4.5</w:t>
            </w:r>
            <w:r>
              <w:t>) will continue to apply to residence contracts and service contracts until 1 October 2015.</w:t>
            </w:r>
            <w:r w:rsidR="004543E5">
              <w:t xml:space="preserve"> This links to the transfer of those provisions to the RV Regulations and the commencement of those regulations containing the transferred provisions on 1 October 2015.</w:t>
            </w:r>
          </w:p>
        </w:tc>
      </w:tr>
      <w:tr w:rsidR="00923B23" w:rsidTr="00D75B6B">
        <w:tc>
          <w:tcPr>
            <w:tcW w:w="0" w:type="auto"/>
            <w:tcMar>
              <w:top w:w="0" w:type="dxa"/>
              <w:left w:w="108" w:type="dxa"/>
              <w:bottom w:w="0" w:type="dxa"/>
              <w:right w:w="108" w:type="dxa"/>
            </w:tcMar>
          </w:tcPr>
          <w:p w:rsidR="00923B23" w:rsidRDefault="00923B23" w:rsidP="00D75B6B">
            <w:r w:rsidRPr="00CE5353">
              <w:t>n/a</w:t>
            </w:r>
          </w:p>
        </w:tc>
        <w:tc>
          <w:tcPr>
            <w:tcW w:w="0" w:type="auto"/>
            <w:tcMar>
              <w:top w:w="0" w:type="dxa"/>
              <w:left w:w="108" w:type="dxa"/>
              <w:bottom w:w="0" w:type="dxa"/>
              <w:right w:w="108" w:type="dxa"/>
            </w:tcMar>
          </w:tcPr>
          <w:p w:rsidR="00923B23" w:rsidRDefault="00923B23" w:rsidP="00D75B6B">
            <w:r>
              <w:t>37</w:t>
            </w:r>
          </w:p>
        </w:tc>
        <w:tc>
          <w:tcPr>
            <w:tcW w:w="3653" w:type="dxa"/>
            <w:tcMar>
              <w:top w:w="0" w:type="dxa"/>
              <w:left w:w="108" w:type="dxa"/>
              <w:bottom w:w="0" w:type="dxa"/>
              <w:right w:w="108" w:type="dxa"/>
            </w:tcMar>
          </w:tcPr>
          <w:p w:rsidR="00923B23" w:rsidRDefault="00923B23" w:rsidP="00D75B6B">
            <w:r w:rsidRPr="006C36E8">
              <w:t>n/a</w:t>
            </w:r>
          </w:p>
        </w:tc>
        <w:tc>
          <w:tcPr>
            <w:tcW w:w="3267" w:type="dxa"/>
          </w:tcPr>
          <w:p w:rsidR="00923B23" w:rsidRDefault="00923B23" w:rsidP="00D75B6B">
            <w:r>
              <w:t>When accounting and financial reporting provisions start to apply to existing retirement villages</w:t>
            </w:r>
          </w:p>
        </w:tc>
        <w:tc>
          <w:tcPr>
            <w:tcW w:w="4329" w:type="dxa"/>
          </w:tcPr>
          <w:p w:rsidR="00903E7A" w:rsidRDefault="00903E7A" w:rsidP="004543E5">
            <w:r>
              <w:t xml:space="preserve">RV Code gives operators of existing </w:t>
            </w:r>
            <w:r w:rsidR="00923B23">
              <w:t>retirement villages time (to 1 July 2016) to transition their budget, quarterly and annual financial statements and consultation processes to comply with clauses 17, 18 and 19 of the</w:t>
            </w:r>
            <w:r>
              <w:br/>
            </w:r>
            <w:r w:rsidR="00923B23">
              <w:t>RV Code.</w:t>
            </w:r>
            <w:r w:rsidR="004543E5">
              <w:t xml:space="preserve"> The provision </w:t>
            </w:r>
            <w:r w:rsidR="00881295">
              <w:t xml:space="preserve">also </w:t>
            </w:r>
            <w:r w:rsidR="004543E5">
              <w:t xml:space="preserve">references that clauses 5.1 to 5.6 of the Interim Code will continue to apply to a retirement village in respect of the 2015/16 financial year as if those regulations had not been repealed. </w:t>
            </w:r>
          </w:p>
        </w:tc>
      </w:tr>
      <w:tr w:rsidR="00923B23" w:rsidTr="00D75B6B">
        <w:tc>
          <w:tcPr>
            <w:tcW w:w="0" w:type="auto"/>
            <w:tcMar>
              <w:top w:w="0" w:type="dxa"/>
              <w:left w:w="108" w:type="dxa"/>
              <w:bottom w:w="0" w:type="dxa"/>
              <w:right w:w="108" w:type="dxa"/>
            </w:tcMar>
          </w:tcPr>
          <w:p w:rsidR="00923B23" w:rsidRDefault="00923B23" w:rsidP="00D75B6B">
            <w:r w:rsidRPr="005008E4">
              <w:t>Appendix 1</w:t>
            </w:r>
          </w:p>
        </w:tc>
        <w:tc>
          <w:tcPr>
            <w:tcW w:w="0" w:type="auto"/>
            <w:tcMar>
              <w:top w:w="0" w:type="dxa"/>
              <w:left w:w="108" w:type="dxa"/>
              <w:bottom w:w="0" w:type="dxa"/>
              <w:right w:w="108" w:type="dxa"/>
            </w:tcMar>
          </w:tcPr>
          <w:p w:rsidR="00923B23" w:rsidRDefault="00923B23" w:rsidP="00D75B6B">
            <w:r w:rsidRPr="005008E4">
              <w:t>Appendix 1</w:t>
            </w:r>
          </w:p>
        </w:tc>
        <w:tc>
          <w:tcPr>
            <w:tcW w:w="3653" w:type="dxa"/>
            <w:tcMar>
              <w:top w:w="0" w:type="dxa"/>
              <w:left w:w="108" w:type="dxa"/>
              <w:bottom w:w="0" w:type="dxa"/>
              <w:right w:w="108" w:type="dxa"/>
            </w:tcMar>
          </w:tcPr>
          <w:p w:rsidR="00923B23" w:rsidRDefault="00923B23" w:rsidP="00D75B6B">
            <w:r>
              <w:t>Checklist for prospective resident</w:t>
            </w:r>
          </w:p>
        </w:tc>
        <w:tc>
          <w:tcPr>
            <w:tcW w:w="3267" w:type="dxa"/>
          </w:tcPr>
          <w:p w:rsidR="00923B23" w:rsidRDefault="00923B23" w:rsidP="00D75B6B">
            <w:r>
              <w:t>Checklist for prospective resident</w:t>
            </w:r>
          </w:p>
        </w:tc>
        <w:tc>
          <w:tcPr>
            <w:tcW w:w="4329" w:type="dxa"/>
          </w:tcPr>
          <w:p w:rsidR="00903E7A" w:rsidRDefault="00923B23" w:rsidP="00923B23">
            <w:r>
              <w:t>RV Code contains minor changes (e</w:t>
            </w:r>
            <w:r w:rsidR="00BA1F52">
              <w:t>.</w:t>
            </w:r>
            <w:r>
              <w:t>g whether pets are allowed in the village).</w:t>
            </w:r>
          </w:p>
        </w:tc>
      </w:tr>
      <w:tr w:rsidR="00923B23" w:rsidTr="00D75B6B">
        <w:tc>
          <w:tcPr>
            <w:tcW w:w="0" w:type="auto"/>
            <w:tcMar>
              <w:top w:w="0" w:type="dxa"/>
              <w:left w:w="108" w:type="dxa"/>
              <w:bottom w:w="0" w:type="dxa"/>
              <w:right w:w="108" w:type="dxa"/>
            </w:tcMar>
          </w:tcPr>
          <w:p w:rsidR="00923B23" w:rsidRDefault="00923B23" w:rsidP="00D75B6B">
            <w:r>
              <w:t>Appendix 2</w:t>
            </w:r>
          </w:p>
        </w:tc>
        <w:tc>
          <w:tcPr>
            <w:tcW w:w="0" w:type="auto"/>
            <w:tcMar>
              <w:top w:w="0" w:type="dxa"/>
              <w:left w:w="108" w:type="dxa"/>
              <w:bottom w:w="0" w:type="dxa"/>
              <w:right w:w="108" w:type="dxa"/>
            </w:tcMar>
          </w:tcPr>
          <w:p w:rsidR="00923B23" w:rsidRDefault="00923B23" w:rsidP="00D75B6B">
            <w:r w:rsidRPr="007B285C">
              <w:t>n/a</w:t>
            </w:r>
          </w:p>
        </w:tc>
        <w:tc>
          <w:tcPr>
            <w:tcW w:w="3653" w:type="dxa"/>
            <w:tcMar>
              <w:top w:w="0" w:type="dxa"/>
              <w:left w:w="108" w:type="dxa"/>
              <w:bottom w:w="0" w:type="dxa"/>
              <w:right w:w="108" w:type="dxa"/>
            </w:tcMar>
          </w:tcPr>
          <w:p w:rsidR="00923B23" w:rsidRDefault="00923B23" w:rsidP="00D75B6B">
            <w:r>
              <w:t>Model proposed operating budget form</w:t>
            </w:r>
          </w:p>
        </w:tc>
        <w:tc>
          <w:tcPr>
            <w:tcW w:w="3267" w:type="dxa"/>
          </w:tcPr>
          <w:p w:rsidR="00923B23" w:rsidRDefault="00923B23" w:rsidP="00D75B6B">
            <w:r>
              <w:t>Repealed</w:t>
            </w:r>
          </w:p>
        </w:tc>
        <w:tc>
          <w:tcPr>
            <w:tcW w:w="4329" w:type="dxa"/>
          </w:tcPr>
          <w:p w:rsidR="00923B23" w:rsidRDefault="00C0391C" w:rsidP="00C0391C">
            <w:r>
              <w:t xml:space="preserve">Clauses 17, 18 and 19 in the </w:t>
            </w:r>
            <w:r w:rsidR="00923B23">
              <w:t xml:space="preserve">RV Code </w:t>
            </w:r>
            <w:r>
              <w:t>clarify</w:t>
            </w:r>
            <w:r w:rsidR="00923B23">
              <w:t xml:space="preserve"> budget </w:t>
            </w:r>
            <w:r>
              <w:t xml:space="preserve">reporting </w:t>
            </w:r>
            <w:r w:rsidR="00923B23">
              <w:t>requirements.</w:t>
            </w:r>
          </w:p>
        </w:tc>
      </w:tr>
      <w:tr w:rsidR="00923B23" w:rsidTr="00D75B6B">
        <w:tc>
          <w:tcPr>
            <w:tcW w:w="0" w:type="auto"/>
            <w:tcMar>
              <w:top w:w="0" w:type="dxa"/>
              <w:left w:w="108" w:type="dxa"/>
              <w:bottom w:w="0" w:type="dxa"/>
              <w:right w:w="108" w:type="dxa"/>
            </w:tcMar>
          </w:tcPr>
          <w:p w:rsidR="00923B23" w:rsidRDefault="00923B23" w:rsidP="00D75B6B">
            <w:r>
              <w:t>Appendix 3</w:t>
            </w:r>
          </w:p>
        </w:tc>
        <w:tc>
          <w:tcPr>
            <w:tcW w:w="0" w:type="auto"/>
            <w:tcMar>
              <w:top w:w="0" w:type="dxa"/>
              <w:left w:w="108" w:type="dxa"/>
              <w:bottom w:w="0" w:type="dxa"/>
              <w:right w:w="108" w:type="dxa"/>
            </w:tcMar>
          </w:tcPr>
          <w:p w:rsidR="00923B23" w:rsidRDefault="00923B23" w:rsidP="00D75B6B">
            <w:r w:rsidRPr="007B285C">
              <w:t>n/a</w:t>
            </w:r>
          </w:p>
        </w:tc>
        <w:tc>
          <w:tcPr>
            <w:tcW w:w="3653" w:type="dxa"/>
            <w:tcMar>
              <w:top w:w="0" w:type="dxa"/>
              <w:left w:w="108" w:type="dxa"/>
              <w:bottom w:w="0" w:type="dxa"/>
              <w:right w:w="108" w:type="dxa"/>
            </w:tcMar>
          </w:tcPr>
          <w:p w:rsidR="00923B23" w:rsidRDefault="00923B23" w:rsidP="00D75B6B">
            <w:r>
              <w:t xml:space="preserve">Model quarterly income and </w:t>
            </w:r>
            <w:r>
              <w:lastRenderedPageBreak/>
              <w:t>expenditure statement</w:t>
            </w:r>
          </w:p>
        </w:tc>
        <w:tc>
          <w:tcPr>
            <w:tcW w:w="3267" w:type="dxa"/>
          </w:tcPr>
          <w:p w:rsidR="00923B23" w:rsidRDefault="00923B23" w:rsidP="00D75B6B">
            <w:r>
              <w:lastRenderedPageBreak/>
              <w:t>Repealed</w:t>
            </w:r>
          </w:p>
        </w:tc>
        <w:tc>
          <w:tcPr>
            <w:tcW w:w="4329" w:type="dxa"/>
          </w:tcPr>
          <w:p w:rsidR="00923B23" w:rsidRDefault="00C0391C" w:rsidP="00C0391C">
            <w:r>
              <w:t xml:space="preserve">Clause 18 in the RV Code </w:t>
            </w:r>
            <w:r w:rsidR="004C74BE">
              <w:t>clarifies</w:t>
            </w:r>
            <w:r w:rsidR="002B6A0B">
              <w:t xml:space="preserve"> requirement</w:t>
            </w:r>
            <w:r w:rsidR="00923B23">
              <w:t xml:space="preserve">s </w:t>
            </w:r>
            <w:r w:rsidR="00923B23">
              <w:lastRenderedPageBreak/>
              <w:t>for quarterly statements</w:t>
            </w:r>
            <w:r w:rsidR="00542ABF">
              <w:t>.</w:t>
            </w:r>
          </w:p>
        </w:tc>
      </w:tr>
      <w:tr w:rsidR="00923B23" w:rsidTr="00D75B6B">
        <w:tc>
          <w:tcPr>
            <w:tcW w:w="0" w:type="auto"/>
            <w:tcMar>
              <w:top w:w="0" w:type="dxa"/>
              <w:left w:w="108" w:type="dxa"/>
              <w:bottom w:w="0" w:type="dxa"/>
              <w:right w:w="108" w:type="dxa"/>
            </w:tcMar>
          </w:tcPr>
          <w:p w:rsidR="00923B23" w:rsidRDefault="00923B23" w:rsidP="00D75B6B">
            <w:r>
              <w:lastRenderedPageBreak/>
              <w:t>Appendix 4</w:t>
            </w:r>
          </w:p>
        </w:tc>
        <w:tc>
          <w:tcPr>
            <w:tcW w:w="0" w:type="auto"/>
            <w:tcMar>
              <w:top w:w="0" w:type="dxa"/>
              <w:left w:w="108" w:type="dxa"/>
              <w:bottom w:w="0" w:type="dxa"/>
              <w:right w:w="108" w:type="dxa"/>
            </w:tcMar>
          </w:tcPr>
          <w:p w:rsidR="00923B23" w:rsidRDefault="00923B23" w:rsidP="00D75B6B">
            <w:r w:rsidRPr="007B285C">
              <w:t>n/a</w:t>
            </w:r>
          </w:p>
        </w:tc>
        <w:tc>
          <w:tcPr>
            <w:tcW w:w="3653" w:type="dxa"/>
            <w:tcMar>
              <w:top w:w="0" w:type="dxa"/>
              <w:left w:w="108" w:type="dxa"/>
              <w:bottom w:w="0" w:type="dxa"/>
              <w:right w:w="108" w:type="dxa"/>
            </w:tcMar>
          </w:tcPr>
          <w:p w:rsidR="00923B23" w:rsidRDefault="00923B23" w:rsidP="00D75B6B">
            <w:r>
              <w:t>Model reserve fund quarterly income and expenditure statement</w:t>
            </w:r>
          </w:p>
        </w:tc>
        <w:tc>
          <w:tcPr>
            <w:tcW w:w="3267" w:type="dxa"/>
          </w:tcPr>
          <w:p w:rsidR="00923B23" w:rsidRDefault="00923B23" w:rsidP="00D75B6B">
            <w:r>
              <w:t>Repealed</w:t>
            </w:r>
          </w:p>
        </w:tc>
        <w:tc>
          <w:tcPr>
            <w:tcW w:w="4329" w:type="dxa"/>
          </w:tcPr>
          <w:p w:rsidR="004C74BE" w:rsidRDefault="00C0391C" w:rsidP="00C0391C">
            <w:r>
              <w:t xml:space="preserve">Clauses 17, 18 and 19 in the RV Code </w:t>
            </w:r>
            <w:r w:rsidR="00923B23">
              <w:t>clarify requirements for reserve fund reporting.</w:t>
            </w:r>
            <w:r w:rsidR="00BA1F52">
              <w:t xml:space="preserve"> </w:t>
            </w:r>
            <w:r w:rsidR="00BA1F52">
              <w:br/>
              <w:t>(</w:t>
            </w:r>
            <w:r w:rsidR="004C74BE">
              <w:t>FR rec. 54</w:t>
            </w:r>
            <w:r w:rsidR="00BA1F52">
              <w:t>)</w:t>
            </w:r>
          </w:p>
        </w:tc>
      </w:tr>
      <w:tr w:rsidR="00923B23" w:rsidTr="00D75B6B">
        <w:tc>
          <w:tcPr>
            <w:tcW w:w="0" w:type="auto"/>
            <w:tcMar>
              <w:top w:w="0" w:type="dxa"/>
              <w:left w:w="108" w:type="dxa"/>
              <w:bottom w:w="0" w:type="dxa"/>
              <w:right w:w="108" w:type="dxa"/>
            </w:tcMar>
          </w:tcPr>
          <w:p w:rsidR="00923B23" w:rsidRDefault="00923B23" w:rsidP="00D75B6B">
            <w:r>
              <w:t>Appendix 5</w:t>
            </w:r>
          </w:p>
        </w:tc>
        <w:tc>
          <w:tcPr>
            <w:tcW w:w="0" w:type="auto"/>
            <w:tcMar>
              <w:top w:w="0" w:type="dxa"/>
              <w:left w:w="108" w:type="dxa"/>
              <w:bottom w:w="0" w:type="dxa"/>
              <w:right w:w="108" w:type="dxa"/>
            </w:tcMar>
          </w:tcPr>
          <w:p w:rsidR="00923B23" w:rsidRDefault="00923B23" w:rsidP="00D75B6B">
            <w:r>
              <w:t>Appendix 2</w:t>
            </w:r>
          </w:p>
        </w:tc>
        <w:tc>
          <w:tcPr>
            <w:tcW w:w="3653" w:type="dxa"/>
            <w:tcMar>
              <w:top w:w="0" w:type="dxa"/>
              <w:left w:w="108" w:type="dxa"/>
              <w:bottom w:w="0" w:type="dxa"/>
              <w:right w:w="108" w:type="dxa"/>
            </w:tcMar>
          </w:tcPr>
          <w:p w:rsidR="00923B23" w:rsidRDefault="00923B23" w:rsidP="00D75B6B">
            <w:r>
              <w:t>Form of appointment of proxy</w:t>
            </w:r>
          </w:p>
        </w:tc>
        <w:tc>
          <w:tcPr>
            <w:tcW w:w="3267" w:type="dxa"/>
          </w:tcPr>
          <w:p w:rsidR="00923B23" w:rsidRDefault="00923B23" w:rsidP="00D75B6B">
            <w:r>
              <w:t>Form of appointment of proxy</w:t>
            </w:r>
          </w:p>
        </w:tc>
        <w:tc>
          <w:tcPr>
            <w:tcW w:w="4329" w:type="dxa"/>
          </w:tcPr>
          <w:p w:rsidR="00923B23" w:rsidRDefault="00C0391C" w:rsidP="00D75B6B">
            <w:r>
              <w:t>The f</w:t>
            </w:r>
            <w:r w:rsidR="00923B23">
              <w:t xml:space="preserve">orm </w:t>
            </w:r>
            <w:r>
              <w:t xml:space="preserve">has been </w:t>
            </w:r>
            <w:r w:rsidR="00923B23">
              <w:t>amended slightly to apply to both a meeting o</w:t>
            </w:r>
            <w:r>
              <w:t>f residents and a meeting of an</w:t>
            </w:r>
            <w:r w:rsidR="00923B23">
              <w:t xml:space="preserve"> incorporated association.</w:t>
            </w:r>
          </w:p>
        </w:tc>
      </w:tr>
      <w:tr w:rsidR="00923B23" w:rsidTr="00D75B6B">
        <w:tc>
          <w:tcPr>
            <w:tcW w:w="0" w:type="auto"/>
            <w:tcMar>
              <w:top w:w="0" w:type="dxa"/>
              <w:left w:w="108" w:type="dxa"/>
              <w:bottom w:w="0" w:type="dxa"/>
              <w:right w:w="108" w:type="dxa"/>
            </w:tcMar>
          </w:tcPr>
          <w:p w:rsidR="00923B23" w:rsidRDefault="00923B23" w:rsidP="00D75B6B"/>
        </w:tc>
        <w:tc>
          <w:tcPr>
            <w:tcW w:w="0" w:type="auto"/>
            <w:tcMar>
              <w:top w:w="0" w:type="dxa"/>
              <w:left w:w="108" w:type="dxa"/>
              <w:bottom w:w="0" w:type="dxa"/>
              <w:right w:w="108" w:type="dxa"/>
            </w:tcMar>
          </w:tcPr>
          <w:p w:rsidR="00923B23" w:rsidRDefault="00923B23" w:rsidP="00D75B6B"/>
        </w:tc>
        <w:tc>
          <w:tcPr>
            <w:tcW w:w="3653" w:type="dxa"/>
            <w:tcMar>
              <w:top w:w="0" w:type="dxa"/>
              <w:left w:w="108" w:type="dxa"/>
              <w:bottom w:w="0" w:type="dxa"/>
              <w:right w:w="108" w:type="dxa"/>
            </w:tcMar>
          </w:tcPr>
          <w:p w:rsidR="00923B23" w:rsidRDefault="00923B23" w:rsidP="00D75B6B">
            <w:r>
              <w:t>Defined terms</w:t>
            </w:r>
          </w:p>
        </w:tc>
        <w:tc>
          <w:tcPr>
            <w:tcW w:w="3267" w:type="dxa"/>
          </w:tcPr>
          <w:p w:rsidR="00923B23" w:rsidRDefault="00923B23" w:rsidP="00D75B6B">
            <w:r>
              <w:t>Defined terms</w:t>
            </w:r>
          </w:p>
        </w:tc>
        <w:tc>
          <w:tcPr>
            <w:tcW w:w="4329" w:type="dxa"/>
          </w:tcPr>
          <w:p w:rsidR="00923B23" w:rsidRDefault="00881295" w:rsidP="00881295">
            <w:r>
              <w:t xml:space="preserve">The list of terms defined in </w:t>
            </w:r>
            <w:r w:rsidR="00923B23">
              <w:t>the code</w:t>
            </w:r>
            <w:r>
              <w:t xml:space="preserve"> has been updated</w:t>
            </w:r>
            <w:r w:rsidR="00923B23">
              <w:t>.</w:t>
            </w:r>
          </w:p>
        </w:tc>
      </w:tr>
    </w:tbl>
    <w:p w:rsidR="00923B23" w:rsidRDefault="00923B23" w:rsidP="00923B23"/>
    <w:p w:rsidR="00923B23" w:rsidRPr="00923B23" w:rsidRDefault="00923B23" w:rsidP="00923B23"/>
    <w:sectPr w:rsidR="00923B23" w:rsidRPr="00923B23" w:rsidSect="00F71808">
      <w:footerReference w:type="default" r:id="rId9"/>
      <w:pgSz w:w="16838" w:h="11906" w:orient="landscape"/>
      <w:pgMar w:top="709"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BC" w:rsidRDefault="00EE34BC" w:rsidP="006F577F">
      <w:r>
        <w:separator/>
      </w:r>
    </w:p>
  </w:endnote>
  <w:endnote w:type="continuationSeparator" w:id="0">
    <w:p w:rsidR="00EE34BC" w:rsidRDefault="00EE34BC" w:rsidP="006F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10951"/>
      <w:docPartObj>
        <w:docPartGallery w:val="Page Numbers (Bottom of Page)"/>
        <w:docPartUnique/>
      </w:docPartObj>
    </w:sdtPr>
    <w:sdtEndPr/>
    <w:sdtContent>
      <w:sdt>
        <w:sdtPr>
          <w:id w:val="860082579"/>
          <w:docPartObj>
            <w:docPartGallery w:val="Page Numbers (Top of Page)"/>
            <w:docPartUnique/>
          </w:docPartObj>
        </w:sdtPr>
        <w:sdtEndPr/>
        <w:sdtContent>
          <w:p w:rsidR="00F71808" w:rsidRDefault="00F71808">
            <w:pPr>
              <w:pStyle w:val="Footer"/>
              <w:jc w:val="right"/>
            </w:pPr>
            <w:r w:rsidRPr="00F71808">
              <w:rPr>
                <w:rFonts w:ascii="Arial" w:hAnsi="Arial" w:cs="Arial"/>
                <w:sz w:val="18"/>
                <w:szCs w:val="18"/>
              </w:rPr>
              <w:t xml:space="preserve">Page </w:t>
            </w:r>
            <w:r w:rsidRPr="00F71808">
              <w:rPr>
                <w:rFonts w:ascii="Arial" w:hAnsi="Arial" w:cs="Arial"/>
                <w:bCs/>
                <w:sz w:val="18"/>
                <w:szCs w:val="18"/>
              </w:rPr>
              <w:fldChar w:fldCharType="begin"/>
            </w:r>
            <w:r w:rsidRPr="00F71808">
              <w:rPr>
                <w:rFonts w:ascii="Arial" w:hAnsi="Arial" w:cs="Arial"/>
                <w:bCs/>
                <w:sz w:val="18"/>
                <w:szCs w:val="18"/>
              </w:rPr>
              <w:instrText xml:space="preserve"> PAGE </w:instrText>
            </w:r>
            <w:r w:rsidRPr="00F71808">
              <w:rPr>
                <w:rFonts w:ascii="Arial" w:hAnsi="Arial" w:cs="Arial"/>
                <w:bCs/>
                <w:sz w:val="18"/>
                <w:szCs w:val="18"/>
              </w:rPr>
              <w:fldChar w:fldCharType="separate"/>
            </w:r>
            <w:r w:rsidR="003300D3">
              <w:rPr>
                <w:rFonts w:ascii="Arial" w:hAnsi="Arial" w:cs="Arial"/>
                <w:bCs/>
                <w:noProof/>
                <w:sz w:val="18"/>
                <w:szCs w:val="18"/>
              </w:rPr>
              <w:t>2</w:t>
            </w:r>
            <w:r w:rsidRPr="00F71808">
              <w:rPr>
                <w:rFonts w:ascii="Arial" w:hAnsi="Arial" w:cs="Arial"/>
                <w:bCs/>
                <w:sz w:val="18"/>
                <w:szCs w:val="18"/>
              </w:rPr>
              <w:fldChar w:fldCharType="end"/>
            </w:r>
            <w:r w:rsidRPr="00F71808">
              <w:rPr>
                <w:rFonts w:ascii="Arial" w:hAnsi="Arial" w:cs="Arial"/>
                <w:sz w:val="18"/>
                <w:szCs w:val="18"/>
              </w:rPr>
              <w:t xml:space="preserve"> of </w:t>
            </w:r>
            <w:r w:rsidRPr="00F71808">
              <w:rPr>
                <w:rFonts w:ascii="Arial" w:hAnsi="Arial" w:cs="Arial"/>
                <w:bCs/>
                <w:sz w:val="18"/>
                <w:szCs w:val="18"/>
              </w:rPr>
              <w:fldChar w:fldCharType="begin"/>
            </w:r>
            <w:r w:rsidRPr="00F71808">
              <w:rPr>
                <w:rFonts w:ascii="Arial" w:hAnsi="Arial" w:cs="Arial"/>
                <w:bCs/>
                <w:sz w:val="18"/>
                <w:szCs w:val="18"/>
              </w:rPr>
              <w:instrText xml:space="preserve"> NUMPAGES  </w:instrText>
            </w:r>
            <w:r w:rsidRPr="00F71808">
              <w:rPr>
                <w:rFonts w:ascii="Arial" w:hAnsi="Arial" w:cs="Arial"/>
                <w:bCs/>
                <w:sz w:val="18"/>
                <w:szCs w:val="18"/>
              </w:rPr>
              <w:fldChar w:fldCharType="separate"/>
            </w:r>
            <w:r w:rsidR="003300D3">
              <w:rPr>
                <w:rFonts w:ascii="Arial" w:hAnsi="Arial" w:cs="Arial"/>
                <w:bCs/>
                <w:noProof/>
                <w:sz w:val="18"/>
                <w:szCs w:val="18"/>
              </w:rPr>
              <w:t>9</w:t>
            </w:r>
            <w:r w:rsidRPr="00F71808">
              <w:rPr>
                <w:rFonts w:ascii="Arial" w:hAnsi="Arial" w:cs="Arial"/>
                <w:bCs/>
                <w:sz w:val="18"/>
                <w:szCs w:val="18"/>
              </w:rPr>
              <w:fldChar w:fldCharType="end"/>
            </w:r>
          </w:p>
        </w:sdtContent>
      </w:sdt>
    </w:sdtContent>
  </w:sdt>
  <w:p w:rsidR="00F71808" w:rsidRDefault="00F71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BC" w:rsidRDefault="00EE34BC" w:rsidP="006F577F">
      <w:r>
        <w:separator/>
      </w:r>
    </w:p>
  </w:footnote>
  <w:footnote w:type="continuationSeparator" w:id="0">
    <w:p w:rsidR="00EE34BC" w:rsidRDefault="00EE34BC" w:rsidP="006F577F">
      <w:r>
        <w:continuationSeparator/>
      </w:r>
    </w:p>
  </w:footnote>
  <w:footnote w:id="1">
    <w:p w:rsidR="00D75B6B" w:rsidRDefault="00D75B6B" w:rsidP="000C6587">
      <w:pPr>
        <w:pStyle w:val="FootnoteText"/>
      </w:pPr>
      <w:r>
        <w:rPr>
          <w:rStyle w:val="FootnoteReference"/>
        </w:rPr>
        <w:footnoteRef/>
      </w:r>
      <w:r>
        <w:t xml:space="preserve"> Reg. 7C – Matters relating to communal amenities to be included in residence contract</w:t>
      </w:r>
    </w:p>
  </w:footnote>
  <w:footnote w:id="2">
    <w:p w:rsidR="00D75B6B" w:rsidRDefault="00D75B6B">
      <w:pPr>
        <w:pStyle w:val="FootnoteText"/>
      </w:pPr>
      <w:r>
        <w:rPr>
          <w:rStyle w:val="FootnoteReference"/>
        </w:rPr>
        <w:footnoteRef/>
      </w:r>
      <w:r>
        <w:t xml:space="preserve"> </w:t>
      </w:r>
      <w:r w:rsidR="0016107A">
        <w:t>Reg. 6 – Section 13 information</w:t>
      </w:r>
    </w:p>
  </w:footnote>
  <w:footnote w:id="3">
    <w:p w:rsidR="00D75B6B" w:rsidRDefault="00D75B6B">
      <w:pPr>
        <w:pStyle w:val="FootnoteText"/>
      </w:pPr>
      <w:r>
        <w:rPr>
          <w:rStyle w:val="FootnoteReference"/>
        </w:rPr>
        <w:footnoteRef/>
      </w:r>
      <w:r>
        <w:t xml:space="preserve">  Reg. 4B - Form of residence contract</w:t>
      </w:r>
    </w:p>
  </w:footnote>
  <w:footnote w:id="4">
    <w:p w:rsidR="00D75B6B" w:rsidRDefault="00D75B6B">
      <w:pPr>
        <w:pStyle w:val="FootnoteText"/>
      </w:pPr>
      <w:r>
        <w:rPr>
          <w:rStyle w:val="FootnoteReference"/>
        </w:rPr>
        <w:footnoteRef/>
      </w:r>
      <w:r>
        <w:t xml:space="preserve"> Reg. 7A – General matters to be included in residence contract</w:t>
      </w:r>
    </w:p>
  </w:footnote>
  <w:footnote w:id="5">
    <w:p w:rsidR="00D75B6B" w:rsidRDefault="00D75B6B">
      <w:pPr>
        <w:pStyle w:val="FootnoteText"/>
      </w:pPr>
      <w:r>
        <w:rPr>
          <w:rStyle w:val="FootnoteReference"/>
        </w:rPr>
        <w:footnoteRef/>
      </w:r>
      <w:r>
        <w:t xml:space="preserve"> Reg. 7B – Matters relating to personal amenities to be included in residence contract</w:t>
      </w:r>
    </w:p>
  </w:footnote>
  <w:footnote w:id="6">
    <w:p w:rsidR="00D75B6B" w:rsidRDefault="00D75B6B">
      <w:pPr>
        <w:pStyle w:val="FootnoteText"/>
      </w:pPr>
      <w:r>
        <w:rPr>
          <w:rStyle w:val="FootnoteReference"/>
        </w:rPr>
        <w:footnoteRef/>
      </w:r>
      <w:r>
        <w:t xml:space="preserve"> Reg. 7C – Matters relating to communal amenities to be included in residence contract</w:t>
      </w:r>
    </w:p>
  </w:footnote>
  <w:footnote w:id="7">
    <w:p w:rsidR="00D75B6B" w:rsidRDefault="00D75B6B">
      <w:pPr>
        <w:pStyle w:val="FootnoteText"/>
      </w:pPr>
      <w:r>
        <w:rPr>
          <w:rStyle w:val="FootnoteReference"/>
        </w:rPr>
        <w:footnoteRef/>
      </w:r>
      <w:r>
        <w:t xml:space="preserve"> Reg. 7D – Matters relating to personal services to be included in residence contract</w:t>
      </w:r>
    </w:p>
  </w:footnote>
  <w:footnote w:id="8">
    <w:p w:rsidR="00D75B6B" w:rsidRDefault="00D75B6B">
      <w:pPr>
        <w:pStyle w:val="FootnoteText"/>
      </w:pPr>
      <w:r>
        <w:rPr>
          <w:rStyle w:val="FootnoteReference"/>
        </w:rPr>
        <w:footnoteRef/>
      </w:r>
      <w:r>
        <w:t xml:space="preserve"> Reg. 7E – Matters relating to communal services to be included in residence contract</w:t>
      </w:r>
    </w:p>
  </w:footnote>
  <w:footnote w:id="9">
    <w:p w:rsidR="00D75B6B" w:rsidRDefault="00D75B6B">
      <w:pPr>
        <w:pStyle w:val="FootnoteText"/>
      </w:pPr>
      <w:r>
        <w:rPr>
          <w:rStyle w:val="FootnoteReference"/>
        </w:rPr>
        <w:footnoteRef/>
      </w:r>
      <w:r>
        <w:t xml:space="preserve"> Reg. 7F – Financial matters to be included in residence contract</w:t>
      </w:r>
    </w:p>
  </w:footnote>
  <w:footnote w:id="10">
    <w:p w:rsidR="00D75B6B" w:rsidRDefault="00D75B6B">
      <w:pPr>
        <w:pStyle w:val="FootnoteText"/>
      </w:pPr>
      <w:r>
        <w:rPr>
          <w:rStyle w:val="FootnoteReference"/>
        </w:rPr>
        <w:footnoteRef/>
      </w:r>
      <w:r>
        <w:t xml:space="preserve">  Clause 37 of the RV Code provides that clauses 17, 18 and 19 apply in respect of a retirement village for each financial year that commences on or after 1 July 2016. In this regard, it is important to note the village operating budgets for the 2016/17 financial year will to be prepared in accordance with clause 17 so as to comply with clause 26(1)(b) of the RV Code in relation to holding an annual budget meeting before the end of the 2015/16 financial year.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1A9F"/>
    <w:multiLevelType w:val="hybridMultilevel"/>
    <w:tmpl w:val="E310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5"/>
    <w:rsid w:val="000154B7"/>
    <w:rsid w:val="00030C3D"/>
    <w:rsid w:val="000534BA"/>
    <w:rsid w:val="000967E4"/>
    <w:rsid w:val="000B31E1"/>
    <w:rsid w:val="000B5F6C"/>
    <w:rsid w:val="000B6B2C"/>
    <w:rsid w:val="000C6587"/>
    <w:rsid w:val="000E56CC"/>
    <w:rsid w:val="0016107A"/>
    <w:rsid w:val="00165A46"/>
    <w:rsid w:val="001A48B3"/>
    <w:rsid w:val="001B103B"/>
    <w:rsid w:val="001C318B"/>
    <w:rsid w:val="001C4C30"/>
    <w:rsid w:val="001D1809"/>
    <w:rsid w:val="001D2DEF"/>
    <w:rsid w:val="00216477"/>
    <w:rsid w:val="00222B11"/>
    <w:rsid w:val="00285449"/>
    <w:rsid w:val="002B6A0B"/>
    <w:rsid w:val="002C227A"/>
    <w:rsid w:val="002D226D"/>
    <w:rsid w:val="002D4996"/>
    <w:rsid w:val="002D5C77"/>
    <w:rsid w:val="002E490B"/>
    <w:rsid w:val="002F6B7B"/>
    <w:rsid w:val="00302949"/>
    <w:rsid w:val="003224ED"/>
    <w:rsid w:val="003300D3"/>
    <w:rsid w:val="00351263"/>
    <w:rsid w:val="003B15CD"/>
    <w:rsid w:val="00434F95"/>
    <w:rsid w:val="00444FE0"/>
    <w:rsid w:val="004543E5"/>
    <w:rsid w:val="004847F2"/>
    <w:rsid w:val="004A56DC"/>
    <w:rsid w:val="004C74BE"/>
    <w:rsid w:val="004D0C5E"/>
    <w:rsid w:val="004F665C"/>
    <w:rsid w:val="00515D6C"/>
    <w:rsid w:val="005306B9"/>
    <w:rsid w:val="005326B0"/>
    <w:rsid w:val="00534EE0"/>
    <w:rsid w:val="00537686"/>
    <w:rsid w:val="00542ABF"/>
    <w:rsid w:val="005B1557"/>
    <w:rsid w:val="005E41FD"/>
    <w:rsid w:val="006176DE"/>
    <w:rsid w:val="0069173D"/>
    <w:rsid w:val="006A1477"/>
    <w:rsid w:val="006A7C41"/>
    <w:rsid w:val="006B5755"/>
    <w:rsid w:val="006B7F99"/>
    <w:rsid w:val="006C3526"/>
    <w:rsid w:val="006E5F00"/>
    <w:rsid w:val="006F577F"/>
    <w:rsid w:val="00721CD9"/>
    <w:rsid w:val="00727426"/>
    <w:rsid w:val="00736D17"/>
    <w:rsid w:val="00755878"/>
    <w:rsid w:val="00764500"/>
    <w:rsid w:val="007C301B"/>
    <w:rsid w:val="007D5068"/>
    <w:rsid w:val="007E386F"/>
    <w:rsid w:val="00831B73"/>
    <w:rsid w:val="00862F13"/>
    <w:rsid w:val="00864F5F"/>
    <w:rsid w:val="00881295"/>
    <w:rsid w:val="00894F0E"/>
    <w:rsid w:val="00903E7A"/>
    <w:rsid w:val="00913614"/>
    <w:rsid w:val="00923B23"/>
    <w:rsid w:val="00992FA3"/>
    <w:rsid w:val="009D068D"/>
    <w:rsid w:val="00A15502"/>
    <w:rsid w:val="00A508AA"/>
    <w:rsid w:val="00A838A9"/>
    <w:rsid w:val="00AA337D"/>
    <w:rsid w:val="00AB3CBD"/>
    <w:rsid w:val="00AB780E"/>
    <w:rsid w:val="00AC3F9D"/>
    <w:rsid w:val="00B046F3"/>
    <w:rsid w:val="00B87C0D"/>
    <w:rsid w:val="00BA1F52"/>
    <w:rsid w:val="00BA5D32"/>
    <w:rsid w:val="00C0391C"/>
    <w:rsid w:val="00C12DD9"/>
    <w:rsid w:val="00C90400"/>
    <w:rsid w:val="00CA4094"/>
    <w:rsid w:val="00CB4CD9"/>
    <w:rsid w:val="00CF69FA"/>
    <w:rsid w:val="00D36152"/>
    <w:rsid w:val="00D75B6B"/>
    <w:rsid w:val="00DB01C6"/>
    <w:rsid w:val="00DC4818"/>
    <w:rsid w:val="00DC65F9"/>
    <w:rsid w:val="00DE3F08"/>
    <w:rsid w:val="00DE6CC2"/>
    <w:rsid w:val="00DF561B"/>
    <w:rsid w:val="00E53239"/>
    <w:rsid w:val="00EB5091"/>
    <w:rsid w:val="00EC1775"/>
    <w:rsid w:val="00ED2E8F"/>
    <w:rsid w:val="00EE34BC"/>
    <w:rsid w:val="00F1238E"/>
    <w:rsid w:val="00F52D37"/>
    <w:rsid w:val="00F67FCC"/>
    <w:rsid w:val="00F71808"/>
    <w:rsid w:val="00F86A27"/>
    <w:rsid w:val="00F87BE7"/>
    <w:rsid w:val="00FE3C40"/>
    <w:rsid w:val="00FF1E14"/>
    <w:rsid w:val="00FF5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577F"/>
    <w:rPr>
      <w:sz w:val="20"/>
      <w:szCs w:val="20"/>
    </w:rPr>
  </w:style>
  <w:style w:type="character" w:customStyle="1" w:styleId="FootnoteTextChar">
    <w:name w:val="Footnote Text Char"/>
    <w:basedOn w:val="DefaultParagraphFont"/>
    <w:link w:val="FootnoteText"/>
    <w:uiPriority w:val="99"/>
    <w:semiHidden/>
    <w:rsid w:val="006F577F"/>
    <w:rPr>
      <w:rFonts w:ascii="Calibri" w:hAnsi="Calibri" w:cs="Times New Roman"/>
      <w:sz w:val="20"/>
      <w:szCs w:val="20"/>
    </w:rPr>
  </w:style>
  <w:style w:type="character" w:styleId="FootnoteReference">
    <w:name w:val="footnote reference"/>
    <w:basedOn w:val="DefaultParagraphFont"/>
    <w:uiPriority w:val="99"/>
    <w:semiHidden/>
    <w:unhideWhenUsed/>
    <w:rsid w:val="006F577F"/>
    <w:rPr>
      <w:vertAlign w:val="superscript"/>
    </w:rPr>
  </w:style>
  <w:style w:type="paragraph" w:styleId="ListParagraph">
    <w:name w:val="List Paragraph"/>
    <w:basedOn w:val="Normal"/>
    <w:uiPriority w:val="34"/>
    <w:qFormat/>
    <w:rsid w:val="006A1477"/>
    <w:pPr>
      <w:ind w:left="720"/>
      <w:contextualSpacing/>
    </w:pPr>
  </w:style>
  <w:style w:type="character" w:styleId="CommentReference">
    <w:name w:val="annotation reference"/>
    <w:basedOn w:val="DefaultParagraphFont"/>
    <w:uiPriority w:val="99"/>
    <w:semiHidden/>
    <w:unhideWhenUsed/>
    <w:rsid w:val="00C12DD9"/>
    <w:rPr>
      <w:sz w:val="16"/>
      <w:szCs w:val="16"/>
    </w:rPr>
  </w:style>
  <w:style w:type="paragraph" w:styleId="CommentText">
    <w:name w:val="annotation text"/>
    <w:basedOn w:val="Normal"/>
    <w:link w:val="CommentTextChar"/>
    <w:uiPriority w:val="99"/>
    <w:semiHidden/>
    <w:unhideWhenUsed/>
    <w:rsid w:val="00C12DD9"/>
    <w:rPr>
      <w:sz w:val="20"/>
      <w:szCs w:val="20"/>
    </w:rPr>
  </w:style>
  <w:style w:type="character" w:customStyle="1" w:styleId="CommentTextChar">
    <w:name w:val="Comment Text Char"/>
    <w:basedOn w:val="DefaultParagraphFont"/>
    <w:link w:val="CommentText"/>
    <w:uiPriority w:val="99"/>
    <w:semiHidden/>
    <w:rsid w:val="00C12DD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2DD9"/>
    <w:rPr>
      <w:b/>
      <w:bCs/>
    </w:rPr>
  </w:style>
  <w:style w:type="character" w:customStyle="1" w:styleId="CommentSubjectChar">
    <w:name w:val="Comment Subject Char"/>
    <w:basedOn w:val="CommentTextChar"/>
    <w:link w:val="CommentSubject"/>
    <w:uiPriority w:val="99"/>
    <w:semiHidden/>
    <w:rsid w:val="00C12DD9"/>
    <w:rPr>
      <w:rFonts w:ascii="Calibri" w:hAnsi="Calibri" w:cs="Times New Roman"/>
      <w:b/>
      <w:bCs/>
      <w:sz w:val="20"/>
      <w:szCs w:val="20"/>
    </w:rPr>
  </w:style>
  <w:style w:type="paragraph" w:styleId="BalloonText">
    <w:name w:val="Balloon Text"/>
    <w:basedOn w:val="Normal"/>
    <w:link w:val="BalloonTextChar"/>
    <w:uiPriority w:val="99"/>
    <w:semiHidden/>
    <w:unhideWhenUsed/>
    <w:rsid w:val="00C12DD9"/>
    <w:rPr>
      <w:rFonts w:ascii="Tahoma" w:hAnsi="Tahoma" w:cs="Tahoma"/>
      <w:sz w:val="16"/>
      <w:szCs w:val="16"/>
    </w:rPr>
  </w:style>
  <w:style w:type="character" w:customStyle="1" w:styleId="BalloonTextChar">
    <w:name w:val="Balloon Text Char"/>
    <w:basedOn w:val="DefaultParagraphFont"/>
    <w:link w:val="BalloonText"/>
    <w:uiPriority w:val="99"/>
    <w:semiHidden/>
    <w:rsid w:val="00C12DD9"/>
    <w:rPr>
      <w:rFonts w:ascii="Tahoma" w:hAnsi="Tahoma" w:cs="Tahoma"/>
      <w:sz w:val="16"/>
      <w:szCs w:val="16"/>
    </w:rPr>
  </w:style>
  <w:style w:type="paragraph" w:styleId="Header">
    <w:name w:val="header"/>
    <w:basedOn w:val="Normal"/>
    <w:link w:val="HeaderChar"/>
    <w:uiPriority w:val="99"/>
    <w:unhideWhenUsed/>
    <w:rsid w:val="00F71808"/>
    <w:pPr>
      <w:tabs>
        <w:tab w:val="center" w:pos="4513"/>
        <w:tab w:val="right" w:pos="9026"/>
      </w:tabs>
    </w:pPr>
  </w:style>
  <w:style w:type="character" w:customStyle="1" w:styleId="HeaderChar">
    <w:name w:val="Header Char"/>
    <w:basedOn w:val="DefaultParagraphFont"/>
    <w:link w:val="Header"/>
    <w:uiPriority w:val="99"/>
    <w:rsid w:val="00F71808"/>
    <w:rPr>
      <w:rFonts w:ascii="Calibri" w:hAnsi="Calibri" w:cs="Times New Roman"/>
    </w:rPr>
  </w:style>
  <w:style w:type="paragraph" w:styleId="Footer">
    <w:name w:val="footer"/>
    <w:basedOn w:val="Normal"/>
    <w:link w:val="FooterChar"/>
    <w:uiPriority w:val="99"/>
    <w:unhideWhenUsed/>
    <w:rsid w:val="00F71808"/>
    <w:pPr>
      <w:tabs>
        <w:tab w:val="center" w:pos="4513"/>
        <w:tab w:val="right" w:pos="9026"/>
      </w:tabs>
    </w:pPr>
  </w:style>
  <w:style w:type="character" w:customStyle="1" w:styleId="FooterChar">
    <w:name w:val="Footer Char"/>
    <w:basedOn w:val="DefaultParagraphFont"/>
    <w:link w:val="Footer"/>
    <w:uiPriority w:val="99"/>
    <w:rsid w:val="00F7180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577F"/>
    <w:rPr>
      <w:sz w:val="20"/>
      <w:szCs w:val="20"/>
    </w:rPr>
  </w:style>
  <w:style w:type="character" w:customStyle="1" w:styleId="FootnoteTextChar">
    <w:name w:val="Footnote Text Char"/>
    <w:basedOn w:val="DefaultParagraphFont"/>
    <w:link w:val="FootnoteText"/>
    <w:uiPriority w:val="99"/>
    <w:semiHidden/>
    <w:rsid w:val="006F577F"/>
    <w:rPr>
      <w:rFonts w:ascii="Calibri" w:hAnsi="Calibri" w:cs="Times New Roman"/>
      <w:sz w:val="20"/>
      <w:szCs w:val="20"/>
    </w:rPr>
  </w:style>
  <w:style w:type="character" w:styleId="FootnoteReference">
    <w:name w:val="footnote reference"/>
    <w:basedOn w:val="DefaultParagraphFont"/>
    <w:uiPriority w:val="99"/>
    <w:semiHidden/>
    <w:unhideWhenUsed/>
    <w:rsid w:val="006F577F"/>
    <w:rPr>
      <w:vertAlign w:val="superscript"/>
    </w:rPr>
  </w:style>
  <w:style w:type="paragraph" w:styleId="ListParagraph">
    <w:name w:val="List Paragraph"/>
    <w:basedOn w:val="Normal"/>
    <w:uiPriority w:val="34"/>
    <w:qFormat/>
    <w:rsid w:val="006A1477"/>
    <w:pPr>
      <w:ind w:left="720"/>
      <w:contextualSpacing/>
    </w:pPr>
  </w:style>
  <w:style w:type="character" w:styleId="CommentReference">
    <w:name w:val="annotation reference"/>
    <w:basedOn w:val="DefaultParagraphFont"/>
    <w:uiPriority w:val="99"/>
    <w:semiHidden/>
    <w:unhideWhenUsed/>
    <w:rsid w:val="00C12DD9"/>
    <w:rPr>
      <w:sz w:val="16"/>
      <w:szCs w:val="16"/>
    </w:rPr>
  </w:style>
  <w:style w:type="paragraph" w:styleId="CommentText">
    <w:name w:val="annotation text"/>
    <w:basedOn w:val="Normal"/>
    <w:link w:val="CommentTextChar"/>
    <w:uiPriority w:val="99"/>
    <w:semiHidden/>
    <w:unhideWhenUsed/>
    <w:rsid w:val="00C12DD9"/>
    <w:rPr>
      <w:sz w:val="20"/>
      <w:szCs w:val="20"/>
    </w:rPr>
  </w:style>
  <w:style w:type="character" w:customStyle="1" w:styleId="CommentTextChar">
    <w:name w:val="Comment Text Char"/>
    <w:basedOn w:val="DefaultParagraphFont"/>
    <w:link w:val="CommentText"/>
    <w:uiPriority w:val="99"/>
    <w:semiHidden/>
    <w:rsid w:val="00C12DD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2DD9"/>
    <w:rPr>
      <w:b/>
      <w:bCs/>
    </w:rPr>
  </w:style>
  <w:style w:type="character" w:customStyle="1" w:styleId="CommentSubjectChar">
    <w:name w:val="Comment Subject Char"/>
    <w:basedOn w:val="CommentTextChar"/>
    <w:link w:val="CommentSubject"/>
    <w:uiPriority w:val="99"/>
    <w:semiHidden/>
    <w:rsid w:val="00C12DD9"/>
    <w:rPr>
      <w:rFonts w:ascii="Calibri" w:hAnsi="Calibri" w:cs="Times New Roman"/>
      <w:b/>
      <w:bCs/>
      <w:sz w:val="20"/>
      <w:szCs w:val="20"/>
    </w:rPr>
  </w:style>
  <w:style w:type="paragraph" w:styleId="BalloonText">
    <w:name w:val="Balloon Text"/>
    <w:basedOn w:val="Normal"/>
    <w:link w:val="BalloonTextChar"/>
    <w:uiPriority w:val="99"/>
    <w:semiHidden/>
    <w:unhideWhenUsed/>
    <w:rsid w:val="00C12DD9"/>
    <w:rPr>
      <w:rFonts w:ascii="Tahoma" w:hAnsi="Tahoma" w:cs="Tahoma"/>
      <w:sz w:val="16"/>
      <w:szCs w:val="16"/>
    </w:rPr>
  </w:style>
  <w:style w:type="character" w:customStyle="1" w:styleId="BalloonTextChar">
    <w:name w:val="Balloon Text Char"/>
    <w:basedOn w:val="DefaultParagraphFont"/>
    <w:link w:val="BalloonText"/>
    <w:uiPriority w:val="99"/>
    <w:semiHidden/>
    <w:rsid w:val="00C12DD9"/>
    <w:rPr>
      <w:rFonts w:ascii="Tahoma" w:hAnsi="Tahoma" w:cs="Tahoma"/>
      <w:sz w:val="16"/>
      <w:szCs w:val="16"/>
    </w:rPr>
  </w:style>
  <w:style w:type="paragraph" w:styleId="Header">
    <w:name w:val="header"/>
    <w:basedOn w:val="Normal"/>
    <w:link w:val="HeaderChar"/>
    <w:uiPriority w:val="99"/>
    <w:unhideWhenUsed/>
    <w:rsid w:val="00F71808"/>
    <w:pPr>
      <w:tabs>
        <w:tab w:val="center" w:pos="4513"/>
        <w:tab w:val="right" w:pos="9026"/>
      </w:tabs>
    </w:pPr>
  </w:style>
  <w:style w:type="character" w:customStyle="1" w:styleId="HeaderChar">
    <w:name w:val="Header Char"/>
    <w:basedOn w:val="DefaultParagraphFont"/>
    <w:link w:val="Header"/>
    <w:uiPriority w:val="99"/>
    <w:rsid w:val="00F71808"/>
    <w:rPr>
      <w:rFonts w:ascii="Calibri" w:hAnsi="Calibri" w:cs="Times New Roman"/>
    </w:rPr>
  </w:style>
  <w:style w:type="paragraph" w:styleId="Footer">
    <w:name w:val="footer"/>
    <w:basedOn w:val="Normal"/>
    <w:link w:val="FooterChar"/>
    <w:uiPriority w:val="99"/>
    <w:unhideWhenUsed/>
    <w:rsid w:val="00F71808"/>
    <w:pPr>
      <w:tabs>
        <w:tab w:val="center" w:pos="4513"/>
        <w:tab w:val="right" w:pos="9026"/>
      </w:tabs>
    </w:pPr>
  </w:style>
  <w:style w:type="character" w:customStyle="1" w:styleId="FooterChar">
    <w:name w:val="Footer Char"/>
    <w:basedOn w:val="DefaultParagraphFont"/>
    <w:link w:val="Footer"/>
    <w:uiPriority w:val="99"/>
    <w:rsid w:val="00F7180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D54F-B9E2-4E02-9C45-207A5CC6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Scott</dc:creator>
  <cp:lastModifiedBy>Garth Godsman</cp:lastModifiedBy>
  <cp:revision>2</cp:revision>
  <cp:lastPrinted>2015-03-25T02:31:00Z</cp:lastPrinted>
  <dcterms:created xsi:type="dcterms:W3CDTF">2015-04-07T02:18:00Z</dcterms:created>
  <dcterms:modified xsi:type="dcterms:W3CDTF">2015-04-07T02:18:00Z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A11124801</vt:lpwstr>
  </property>
  <property fmtid="{D5CDD505-2E9C-101B-9397-08002B2CF9AE}" pid="4" name="Objective-Title">
    <vt:lpwstr>Translation Table - Interim Code to RV Code or RV Regs - 2015 implementation</vt:lpwstr>
  </property>
  <property fmtid="{D5CDD505-2E9C-101B-9397-08002B2CF9AE}" pid="5" name="Objective-Comment">
    <vt:lpwstr>
    </vt:lpwstr>
  </property>
  <property fmtid="{D5CDD505-2E9C-101B-9397-08002B2CF9AE}" pid="6" name="Objective-CreationStamp">
    <vt:filetime>2015-03-19T08:27:00Z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2015-03-25T02:31:20Z</vt:filetime>
  </property>
  <property fmtid="{D5CDD505-2E9C-101B-9397-08002B2CF9AE}" pid="10" name="Objective-ModificationStamp">
    <vt:filetime>2015-03-25T02:31:22Z</vt:filetime>
  </property>
  <property fmtid="{D5CDD505-2E9C-101B-9397-08002B2CF9AE}" pid="11" name="Objective-Owner">
    <vt:lpwstr>SCOTT, Catherine</vt:lpwstr>
  </property>
  <property fmtid="{D5CDD505-2E9C-101B-9397-08002B2CF9AE}" pid="12" name="Objective-Path">
    <vt:lpwstr>Global Folder:Commerce:Consumer Protection:Administrative Files:Strategic Management:Legislation:R:Retirement Villages Act 1992 - Retirement Villages Bill - Cabinet Submission:Bills 1 and 2:Bill 1:Bill 1 Commencement:Commencement of RV Amendment Regulatio</vt:lpwstr>
  </property>
  <property fmtid="{D5CDD505-2E9C-101B-9397-08002B2CF9AE}" pid="13" name="Objective-Parent">
    <vt:lpwstr>Industry</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8</vt:i4>
  </property>
  <property fmtid="{D5CDD505-2E9C-101B-9397-08002B2CF9AE}" pid="17" name="Objective-VersionComment">
    <vt:lpwstr>
    </vt:lpwstr>
  </property>
  <property fmtid="{D5CDD505-2E9C-101B-9397-08002B2CF9AE}" pid="18" name="Objective-FileNumber">
    <vt:lpwstr>CP02358/2010</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