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13" w:rsidRDefault="00D21736" w:rsidP="00542C5F">
      <w:pPr>
        <w:jc w:val="center"/>
        <w:rPr>
          <w:b/>
          <w:sz w:val="32"/>
          <w:szCs w:val="32"/>
        </w:rPr>
      </w:pPr>
      <w:r w:rsidRPr="00D21736">
        <w:rPr>
          <w:b/>
          <w:sz w:val="32"/>
          <w:szCs w:val="32"/>
        </w:rPr>
        <w:t>DEPARTMENT OF COMMER</w:t>
      </w:r>
      <w:r w:rsidR="00412E13">
        <w:rPr>
          <w:b/>
          <w:sz w:val="32"/>
          <w:szCs w:val="32"/>
        </w:rPr>
        <w:t>CE</w:t>
      </w:r>
      <w:r w:rsidRPr="00D21736">
        <w:rPr>
          <w:b/>
          <w:sz w:val="32"/>
          <w:szCs w:val="32"/>
        </w:rPr>
        <w:t xml:space="preserve"> - </w:t>
      </w:r>
      <w:r w:rsidR="00412E13" w:rsidRPr="00412E13">
        <w:rPr>
          <w:b/>
          <w:sz w:val="32"/>
          <w:szCs w:val="32"/>
        </w:rPr>
        <w:t>Property Industries Directorate, Consumer Protection</w:t>
      </w:r>
    </w:p>
    <w:p w:rsidR="00A838A9" w:rsidRDefault="00412E13" w:rsidP="00E10F5D">
      <w:pPr>
        <w:spacing w:before="60" w:after="240"/>
        <w:jc w:val="center"/>
      </w:pPr>
      <w:r w:rsidRPr="00D21736">
        <w:rPr>
          <w:b/>
          <w:sz w:val="32"/>
          <w:szCs w:val="32"/>
        </w:rPr>
        <w:t>PAST PU</w:t>
      </w:r>
      <w:r>
        <w:rPr>
          <w:b/>
          <w:sz w:val="32"/>
          <w:szCs w:val="32"/>
        </w:rPr>
        <w:t xml:space="preserve">BLICATIONS </w:t>
      </w:r>
      <w:r w:rsidRPr="00D21736">
        <w:rPr>
          <w:b/>
          <w:sz w:val="32"/>
          <w:szCs w:val="32"/>
        </w:rPr>
        <w:t>– ARCHIVE LIST</w:t>
      </w:r>
      <w:r>
        <w:rPr>
          <w:b/>
          <w:sz w:val="32"/>
          <w:szCs w:val="32"/>
        </w:rPr>
        <w:t>:-</w:t>
      </w:r>
      <w:r w:rsidRPr="00D21736">
        <w:rPr>
          <w:b/>
          <w:sz w:val="32"/>
          <w:szCs w:val="32"/>
        </w:rPr>
        <w:t xml:space="preserve"> </w:t>
      </w:r>
      <w:r w:rsidR="00E9542E">
        <w:rPr>
          <w:b/>
          <w:sz w:val="32"/>
          <w:szCs w:val="32"/>
        </w:rPr>
        <w:t>“</w:t>
      </w:r>
      <w:r w:rsidR="00097D49" w:rsidRPr="00D21736">
        <w:rPr>
          <w:b/>
          <w:sz w:val="32"/>
          <w:szCs w:val="32"/>
        </w:rPr>
        <w:t>SETTLEMENT AGENTS NEWS</w:t>
      </w:r>
      <w:r w:rsidR="00E9542E">
        <w:rPr>
          <w:b/>
          <w:sz w:val="32"/>
          <w:szCs w:val="32"/>
        </w:rPr>
        <w:t>”</w:t>
      </w: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D06FF8" w:rsidTr="00E10F5D">
        <w:tc>
          <w:tcPr>
            <w:tcW w:w="1418" w:type="dxa"/>
            <w:shd w:val="clear" w:color="auto" w:fill="D9D9D9" w:themeFill="background1" w:themeFillShade="D9"/>
          </w:tcPr>
          <w:p w:rsidR="00D21736" w:rsidRPr="0025137B" w:rsidRDefault="00D21736" w:rsidP="00B165DC">
            <w:pPr>
              <w:spacing w:before="60" w:after="60"/>
              <w:rPr>
                <w:b/>
                <w:sz w:val="24"/>
                <w:szCs w:val="24"/>
              </w:rPr>
            </w:pPr>
            <w:r w:rsidRPr="0025137B">
              <w:rPr>
                <w:b/>
                <w:sz w:val="24"/>
                <w:szCs w:val="24"/>
              </w:rPr>
              <w:t>DATE / NO.</w:t>
            </w:r>
          </w:p>
        </w:tc>
        <w:tc>
          <w:tcPr>
            <w:tcW w:w="3969" w:type="dxa"/>
            <w:shd w:val="clear" w:color="auto" w:fill="D9D9D9" w:themeFill="background1" w:themeFillShade="D9"/>
          </w:tcPr>
          <w:p w:rsidR="00D21736" w:rsidRPr="0025137B" w:rsidRDefault="003F065D" w:rsidP="00B165DC">
            <w:pPr>
              <w:spacing w:before="60" w:after="60"/>
              <w:rPr>
                <w:b/>
                <w:sz w:val="24"/>
                <w:szCs w:val="24"/>
              </w:rPr>
            </w:pPr>
            <w:r>
              <w:rPr>
                <w:b/>
                <w:sz w:val="24"/>
                <w:szCs w:val="24"/>
              </w:rPr>
              <w:t>ISSUE</w:t>
            </w:r>
            <w:r w:rsidR="00D21736" w:rsidRPr="0025137B">
              <w:rPr>
                <w:b/>
                <w:sz w:val="24"/>
                <w:szCs w:val="24"/>
              </w:rPr>
              <w:t xml:space="preserve"> / TITLE </w:t>
            </w:r>
          </w:p>
        </w:tc>
        <w:tc>
          <w:tcPr>
            <w:tcW w:w="10302" w:type="dxa"/>
            <w:shd w:val="clear" w:color="auto" w:fill="D9D9D9" w:themeFill="background1" w:themeFillShade="D9"/>
          </w:tcPr>
          <w:p w:rsidR="00D21736" w:rsidRPr="0025137B" w:rsidRDefault="00D21736" w:rsidP="00B165DC">
            <w:pPr>
              <w:spacing w:before="60" w:after="60"/>
              <w:rPr>
                <w:b/>
                <w:sz w:val="24"/>
                <w:szCs w:val="24"/>
              </w:rPr>
            </w:pPr>
            <w:r w:rsidRPr="0025137B">
              <w:rPr>
                <w:b/>
                <w:sz w:val="24"/>
                <w:szCs w:val="24"/>
              </w:rPr>
              <w:t>CONTENT SUMMARY</w:t>
            </w:r>
          </w:p>
        </w:tc>
      </w:tr>
      <w:tr w:rsidR="00EB4D2A" w:rsidTr="00E10F5D">
        <w:tc>
          <w:tcPr>
            <w:tcW w:w="1418" w:type="dxa"/>
          </w:tcPr>
          <w:p w:rsidR="00D21736" w:rsidRPr="003F065D" w:rsidRDefault="00D06FF8" w:rsidP="00FC2621">
            <w:pPr>
              <w:spacing w:before="120"/>
              <w:jc w:val="both"/>
              <w:rPr>
                <w:rFonts w:ascii="Arial" w:hAnsi="Arial" w:cs="Arial"/>
                <w:sz w:val="20"/>
                <w:szCs w:val="20"/>
              </w:rPr>
            </w:pPr>
            <w:r w:rsidRPr="003F065D">
              <w:rPr>
                <w:rFonts w:ascii="Arial" w:hAnsi="Arial" w:cs="Arial"/>
                <w:sz w:val="20"/>
                <w:szCs w:val="20"/>
              </w:rPr>
              <w:br w:type="page"/>
            </w:r>
            <w:r w:rsidR="0025137B" w:rsidRPr="003F065D">
              <w:rPr>
                <w:rFonts w:ascii="Arial" w:hAnsi="Arial" w:cs="Arial"/>
                <w:b/>
                <w:bCs/>
                <w:sz w:val="20"/>
                <w:szCs w:val="20"/>
              </w:rPr>
              <w:t>December 2013</w:t>
            </w:r>
          </w:p>
          <w:p w:rsidR="00D21736" w:rsidRPr="003F065D" w:rsidRDefault="00412E13" w:rsidP="00FC2621">
            <w:pPr>
              <w:spacing w:before="120"/>
              <w:jc w:val="both"/>
              <w:rPr>
                <w:rFonts w:ascii="Arial" w:hAnsi="Arial" w:cs="Arial"/>
                <w:sz w:val="20"/>
                <w:szCs w:val="20"/>
              </w:rPr>
            </w:pPr>
            <w:r w:rsidRPr="003F065D">
              <w:rPr>
                <w:rFonts w:ascii="Arial" w:hAnsi="Arial" w:cs="Arial"/>
                <w:b/>
                <w:bCs/>
                <w:sz w:val="20"/>
                <w:szCs w:val="20"/>
              </w:rPr>
              <w:t>No. 8</w:t>
            </w:r>
          </w:p>
        </w:tc>
        <w:tc>
          <w:tcPr>
            <w:tcW w:w="3969" w:type="dxa"/>
          </w:tcPr>
          <w:p w:rsidR="00412E13" w:rsidRPr="003F065D" w:rsidRDefault="00412E13" w:rsidP="009F7E68">
            <w:pPr>
              <w:pStyle w:val="ListParagraph"/>
              <w:numPr>
                <w:ilvl w:val="0"/>
                <w:numId w:val="2"/>
              </w:numPr>
              <w:tabs>
                <w:tab w:val="right" w:pos="2540"/>
              </w:tabs>
              <w:spacing w:before="120" w:after="60"/>
              <w:ind w:left="317" w:right="-16"/>
              <w:jc w:val="both"/>
              <w:rPr>
                <w:rFonts w:ascii="Arial" w:hAnsi="Arial" w:cs="Arial"/>
                <w:b/>
                <w:sz w:val="20"/>
                <w:szCs w:val="20"/>
              </w:rPr>
            </w:pPr>
            <w:r w:rsidRPr="003F065D">
              <w:rPr>
                <w:rFonts w:ascii="Arial" w:hAnsi="Arial" w:cs="Arial"/>
                <w:b/>
                <w:sz w:val="20"/>
                <w:szCs w:val="20"/>
              </w:rPr>
              <w:t xml:space="preserve">Changes to licence application forms </w:t>
            </w:r>
          </w:p>
          <w:p w:rsidR="00647FDD" w:rsidRPr="003F065D" w:rsidRDefault="00647FDD" w:rsidP="00647FDD">
            <w:pPr>
              <w:tabs>
                <w:tab w:val="right" w:pos="2540"/>
              </w:tabs>
              <w:spacing w:before="60" w:after="60"/>
              <w:ind w:right="-16"/>
              <w:jc w:val="both"/>
              <w:rPr>
                <w:rFonts w:ascii="Arial" w:hAnsi="Arial" w:cs="Arial"/>
                <w:b/>
                <w:sz w:val="20"/>
                <w:szCs w:val="20"/>
              </w:rPr>
            </w:pPr>
          </w:p>
          <w:p w:rsidR="00D21736" w:rsidRPr="003F065D" w:rsidRDefault="0025137B" w:rsidP="009F7E68">
            <w:pPr>
              <w:pStyle w:val="ListParagraph"/>
              <w:numPr>
                <w:ilvl w:val="0"/>
                <w:numId w:val="2"/>
              </w:numPr>
              <w:tabs>
                <w:tab w:val="right" w:pos="2540"/>
              </w:tabs>
              <w:spacing w:before="60" w:after="120"/>
              <w:ind w:left="317" w:right="-16"/>
              <w:jc w:val="both"/>
              <w:rPr>
                <w:rFonts w:ascii="Arial" w:hAnsi="Arial" w:cs="Arial"/>
                <w:b/>
                <w:sz w:val="20"/>
                <w:szCs w:val="20"/>
              </w:rPr>
            </w:pPr>
            <w:r w:rsidRPr="003F065D">
              <w:rPr>
                <w:rFonts w:ascii="Arial" w:hAnsi="Arial" w:cs="Arial"/>
                <w:b/>
                <w:sz w:val="20"/>
                <w:szCs w:val="20"/>
              </w:rPr>
              <w:t>Insurance for settlement agents.</w:t>
            </w:r>
          </w:p>
          <w:p w:rsidR="00647FDD" w:rsidRPr="003F065D" w:rsidRDefault="00647FDD" w:rsidP="00647FDD">
            <w:pPr>
              <w:tabs>
                <w:tab w:val="right" w:pos="2540"/>
              </w:tabs>
              <w:spacing w:before="60" w:after="120"/>
              <w:ind w:right="-16"/>
              <w:jc w:val="both"/>
              <w:rPr>
                <w:rFonts w:ascii="Arial" w:hAnsi="Arial" w:cs="Arial"/>
                <w:b/>
                <w:sz w:val="20"/>
                <w:szCs w:val="20"/>
              </w:rPr>
            </w:pPr>
          </w:p>
          <w:p w:rsidR="0025137B" w:rsidRPr="003F065D" w:rsidRDefault="0025137B" w:rsidP="009F7E68">
            <w:pPr>
              <w:pStyle w:val="ListParagraph"/>
              <w:numPr>
                <w:ilvl w:val="0"/>
                <w:numId w:val="2"/>
              </w:numPr>
              <w:tabs>
                <w:tab w:val="right" w:pos="2540"/>
              </w:tabs>
              <w:spacing w:before="60"/>
              <w:ind w:left="317" w:right="-16"/>
              <w:jc w:val="both"/>
              <w:rPr>
                <w:rFonts w:ascii="Arial" w:hAnsi="Arial" w:cs="Arial"/>
                <w:b/>
                <w:sz w:val="20"/>
                <w:szCs w:val="20"/>
              </w:rPr>
            </w:pPr>
            <w:r w:rsidRPr="003F065D">
              <w:rPr>
                <w:rFonts w:ascii="Arial" w:hAnsi="Arial" w:cs="Arial"/>
                <w:b/>
                <w:sz w:val="20"/>
                <w:szCs w:val="20"/>
              </w:rPr>
              <w:t xml:space="preserve">Updated </w:t>
            </w:r>
            <w:r w:rsidR="002B5EFB" w:rsidRPr="003F065D">
              <w:rPr>
                <w:rFonts w:ascii="Arial" w:hAnsi="Arial" w:cs="Arial"/>
                <w:b/>
                <w:sz w:val="20"/>
                <w:szCs w:val="20"/>
              </w:rPr>
              <w:t>Professional</w:t>
            </w:r>
            <w:r w:rsidR="00147630" w:rsidRPr="003F065D">
              <w:rPr>
                <w:rFonts w:ascii="Arial" w:hAnsi="Arial" w:cs="Arial"/>
                <w:b/>
                <w:sz w:val="20"/>
                <w:szCs w:val="20"/>
              </w:rPr>
              <w:t xml:space="preserve">  </w:t>
            </w:r>
            <w:r w:rsidR="002B5EFB" w:rsidRPr="003F065D">
              <w:rPr>
                <w:rFonts w:ascii="Arial" w:hAnsi="Arial" w:cs="Arial"/>
                <w:b/>
                <w:sz w:val="20"/>
                <w:szCs w:val="20"/>
              </w:rPr>
              <w:t xml:space="preserve">Indemnity Insurance </w:t>
            </w:r>
            <w:r w:rsidR="00147630" w:rsidRPr="003F065D">
              <w:rPr>
                <w:rFonts w:ascii="Arial" w:hAnsi="Arial" w:cs="Arial"/>
                <w:b/>
                <w:sz w:val="20"/>
                <w:szCs w:val="20"/>
              </w:rPr>
              <w:t>Master Policy</w:t>
            </w:r>
          </w:p>
          <w:p w:rsidR="00412E13" w:rsidRPr="003F065D" w:rsidRDefault="00412E13" w:rsidP="008215DD">
            <w:pPr>
              <w:pStyle w:val="ListParagraph"/>
              <w:tabs>
                <w:tab w:val="right" w:pos="2540"/>
              </w:tabs>
              <w:spacing w:before="60" w:after="60"/>
              <w:ind w:left="317" w:right="-16"/>
              <w:jc w:val="both"/>
              <w:rPr>
                <w:rFonts w:ascii="Arial" w:hAnsi="Arial" w:cs="Arial"/>
                <w:b/>
                <w:sz w:val="20"/>
                <w:szCs w:val="20"/>
              </w:rPr>
            </w:pPr>
          </w:p>
          <w:p w:rsidR="00412E13" w:rsidRPr="003F065D" w:rsidRDefault="00412E13" w:rsidP="009F7E68">
            <w:pPr>
              <w:pStyle w:val="ListParagraph"/>
              <w:numPr>
                <w:ilvl w:val="0"/>
                <w:numId w:val="2"/>
              </w:numPr>
              <w:tabs>
                <w:tab w:val="right" w:pos="2540"/>
              </w:tabs>
              <w:autoSpaceDE w:val="0"/>
              <w:autoSpaceDN w:val="0"/>
              <w:adjustRightInd w:val="0"/>
              <w:spacing w:before="60" w:after="60"/>
              <w:ind w:left="317" w:right="-16"/>
              <w:jc w:val="both"/>
              <w:rPr>
                <w:rFonts w:ascii="Arial" w:hAnsi="Arial" w:cs="Arial"/>
                <w:b/>
                <w:sz w:val="20"/>
                <w:szCs w:val="20"/>
              </w:rPr>
            </w:pPr>
            <w:r w:rsidRPr="003F065D">
              <w:rPr>
                <w:rFonts w:ascii="Arial" w:hAnsi="Arial" w:cs="Arial"/>
                <w:b/>
                <w:sz w:val="20"/>
                <w:szCs w:val="20"/>
              </w:rPr>
              <w:t>Change in</w:t>
            </w:r>
            <w:r w:rsidR="00EB4D2A" w:rsidRPr="003F065D">
              <w:rPr>
                <w:rFonts w:ascii="Arial" w:hAnsi="Arial" w:cs="Arial"/>
                <w:b/>
                <w:sz w:val="20"/>
                <w:szCs w:val="20"/>
              </w:rPr>
              <w:t xml:space="preserve"> </w:t>
            </w:r>
            <w:r w:rsidRPr="003F065D">
              <w:rPr>
                <w:rFonts w:ascii="Arial" w:hAnsi="Arial" w:cs="Arial"/>
                <w:b/>
                <w:sz w:val="20"/>
                <w:szCs w:val="20"/>
              </w:rPr>
              <w:t>qualifications for</w:t>
            </w:r>
            <w:r w:rsidR="00EB4D2A" w:rsidRPr="003F065D">
              <w:rPr>
                <w:rFonts w:ascii="Arial" w:hAnsi="Arial" w:cs="Arial"/>
                <w:b/>
                <w:sz w:val="20"/>
                <w:szCs w:val="20"/>
              </w:rPr>
              <w:t xml:space="preserve"> </w:t>
            </w:r>
            <w:r w:rsidRPr="003F065D">
              <w:rPr>
                <w:rFonts w:ascii="Arial" w:hAnsi="Arial" w:cs="Arial"/>
                <w:b/>
                <w:sz w:val="20"/>
                <w:szCs w:val="20"/>
              </w:rPr>
              <w:t>settlement agent</w:t>
            </w:r>
            <w:r w:rsidR="00EB4D2A" w:rsidRPr="003F065D">
              <w:rPr>
                <w:rFonts w:ascii="Arial" w:hAnsi="Arial" w:cs="Arial"/>
                <w:b/>
                <w:sz w:val="20"/>
                <w:szCs w:val="20"/>
              </w:rPr>
              <w:t xml:space="preserve"> </w:t>
            </w:r>
            <w:r w:rsidRPr="003F065D">
              <w:rPr>
                <w:rFonts w:ascii="Arial" w:hAnsi="Arial" w:cs="Arial"/>
                <w:b/>
                <w:sz w:val="20"/>
                <w:szCs w:val="20"/>
              </w:rPr>
              <w:t>licences</w:t>
            </w:r>
          </w:p>
          <w:p w:rsidR="00C00551" w:rsidRPr="003F065D" w:rsidRDefault="00C00551" w:rsidP="008215DD">
            <w:pPr>
              <w:tabs>
                <w:tab w:val="right" w:pos="2540"/>
              </w:tabs>
              <w:autoSpaceDE w:val="0"/>
              <w:autoSpaceDN w:val="0"/>
              <w:adjustRightInd w:val="0"/>
              <w:spacing w:before="60" w:after="60"/>
              <w:ind w:left="317" w:right="-16"/>
              <w:jc w:val="both"/>
              <w:rPr>
                <w:rFonts w:ascii="Arial" w:hAnsi="Arial" w:cs="Arial"/>
                <w:b/>
                <w:sz w:val="20"/>
                <w:szCs w:val="20"/>
              </w:rPr>
            </w:pPr>
          </w:p>
          <w:p w:rsidR="00412E13" w:rsidRPr="003F065D" w:rsidRDefault="00412E13" w:rsidP="009F7E68">
            <w:pPr>
              <w:pStyle w:val="ListParagraph"/>
              <w:numPr>
                <w:ilvl w:val="0"/>
                <w:numId w:val="2"/>
              </w:numPr>
              <w:tabs>
                <w:tab w:val="right" w:pos="2540"/>
              </w:tabs>
              <w:autoSpaceDE w:val="0"/>
              <w:autoSpaceDN w:val="0"/>
              <w:adjustRightInd w:val="0"/>
              <w:spacing w:before="60" w:after="60"/>
              <w:ind w:left="317" w:right="-16"/>
              <w:jc w:val="both"/>
              <w:rPr>
                <w:rFonts w:ascii="Arial" w:hAnsi="Arial" w:cs="Arial"/>
                <w:b/>
                <w:sz w:val="20"/>
                <w:szCs w:val="20"/>
              </w:rPr>
            </w:pPr>
            <w:r w:rsidRPr="003F065D">
              <w:rPr>
                <w:rFonts w:ascii="Arial" w:hAnsi="Arial" w:cs="Arial"/>
                <w:b/>
                <w:sz w:val="20"/>
                <w:szCs w:val="20"/>
              </w:rPr>
              <w:t>Acting expeditiously after instructions to act are received</w:t>
            </w:r>
          </w:p>
          <w:p w:rsidR="00304C70" w:rsidRPr="003F065D" w:rsidRDefault="00304C70" w:rsidP="008215DD">
            <w:pPr>
              <w:pStyle w:val="ListParagraph"/>
              <w:tabs>
                <w:tab w:val="right" w:pos="2540"/>
              </w:tabs>
              <w:ind w:left="317" w:right="-16"/>
              <w:jc w:val="both"/>
              <w:rPr>
                <w:rFonts w:ascii="Arial" w:hAnsi="Arial" w:cs="Arial"/>
                <w:b/>
                <w:sz w:val="20"/>
                <w:szCs w:val="20"/>
              </w:rPr>
            </w:pPr>
          </w:p>
          <w:p w:rsidR="00412E13" w:rsidRPr="003F065D" w:rsidRDefault="00412E13" w:rsidP="009F7E68">
            <w:pPr>
              <w:pStyle w:val="ListParagraph"/>
              <w:numPr>
                <w:ilvl w:val="0"/>
                <w:numId w:val="2"/>
              </w:numPr>
              <w:tabs>
                <w:tab w:val="right" w:pos="2540"/>
              </w:tabs>
              <w:autoSpaceDE w:val="0"/>
              <w:autoSpaceDN w:val="0"/>
              <w:adjustRightInd w:val="0"/>
              <w:spacing w:before="60" w:after="60"/>
              <w:ind w:left="317" w:right="-16"/>
              <w:jc w:val="both"/>
              <w:rPr>
                <w:rFonts w:ascii="Arial" w:hAnsi="Arial" w:cs="Arial"/>
                <w:b/>
                <w:sz w:val="20"/>
                <w:szCs w:val="20"/>
              </w:rPr>
            </w:pPr>
            <w:r w:rsidRPr="003F065D">
              <w:rPr>
                <w:rFonts w:ascii="Arial" w:hAnsi="Arial" w:cs="Arial"/>
                <w:b/>
                <w:i/>
                <w:sz w:val="20"/>
                <w:szCs w:val="20"/>
              </w:rPr>
              <w:t>Remuneration Notice 2013</w:t>
            </w:r>
            <w:r w:rsidRPr="003F065D">
              <w:rPr>
                <w:rFonts w:ascii="Arial" w:hAnsi="Arial" w:cs="Arial"/>
                <w:b/>
                <w:sz w:val="20"/>
                <w:szCs w:val="20"/>
              </w:rPr>
              <w:t xml:space="preserve"> for settlement transactions</w:t>
            </w:r>
          </w:p>
          <w:p w:rsidR="00E62D53" w:rsidRPr="003F065D" w:rsidRDefault="00E62D53" w:rsidP="008215DD">
            <w:pPr>
              <w:pStyle w:val="ListParagraph"/>
              <w:tabs>
                <w:tab w:val="right" w:pos="2540"/>
              </w:tabs>
              <w:ind w:left="317" w:right="-16"/>
              <w:jc w:val="both"/>
              <w:rPr>
                <w:rFonts w:ascii="Arial" w:hAnsi="Arial" w:cs="Arial"/>
                <w:b/>
                <w:sz w:val="20"/>
                <w:szCs w:val="20"/>
              </w:rPr>
            </w:pPr>
          </w:p>
          <w:p w:rsidR="00412E13" w:rsidRPr="004C0A05" w:rsidRDefault="00E62D53" w:rsidP="009F7E68">
            <w:pPr>
              <w:pStyle w:val="ListParagraph"/>
              <w:numPr>
                <w:ilvl w:val="0"/>
                <w:numId w:val="2"/>
              </w:numPr>
              <w:tabs>
                <w:tab w:val="right" w:pos="2540"/>
              </w:tabs>
              <w:autoSpaceDE w:val="0"/>
              <w:autoSpaceDN w:val="0"/>
              <w:adjustRightInd w:val="0"/>
              <w:spacing w:before="60" w:after="60"/>
              <w:ind w:left="317" w:right="-16"/>
              <w:jc w:val="both"/>
              <w:rPr>
                <w:rFonts w:ascii="Arial" w:hAnsi="Arial" w:cs="Arial"/>
                <w:b/>
                <w:sz w:val="20"/>
                <w:szCs w:val="20"/>
              </w:rPr>
            </w:pPr>
            <w:r w:rsidRPr="004C0A05">
              <w:rPr>
                <w:rFonts w:ascii="Arial" w:hAnsi="Arial" w:cs="Arial"/>
                <w:b/>
                <w:sz w:val="20"/>
                <w:szCs w:val="20"/>
              </w:rPr>
              <w:t>CPD Reminder</w:t>
            </w:r>
          </w:p>
          <w:p w:rsidR="0007660B" w:rsidRPr="003F065D" w:rsidRDefault="0007660B" w:rsidP="008215DD">
            <w:pPr>
              <w:pStyle w:val="ListParagraph"/>
              <w:ind w:left="317"/>
              <w:rPr>
                <w:rFonts w:ascii="Arial" w:hAnsi="Arial" w:cs="Arial"/>
                <w:b/>
                <w:strike/>
                <w:sz w:val="20"/>
                <w:szCs w:val="20"/>
              </w:rPr>
            </w:pPr>
          </w:p>
          <w:p w:rsidR="003F065D" w:rsidRDefault="0007660B" w:rsidP="009F7E68">
            <w:pPr>
              <w:pStyle w:val="ListParagraph"/>
              <w:numPr>
                <w:ilvl w:val="0"/>
                <w:numId w:val="2"/>
              </w:numPr>
              <w:tabs>
                <w:tab w:val="right" w:pos="2540"/>
              </w:tabs>
              <w:spacing w:before="60" w:after="120"/>
              <w:ind w:left="317" w:right="-16"/>
              <w:rPr>
                <w:rFonts w:ascii="Arial" w:hAnsi="Arial" w:cs="Arial"/>
                <w:b/>
                <w:sz w:val="20"/>
                <w:szCs w:val="20"/>
              </w:rPr>
            </w:pPr>
            <w:r w:rsidRPr="003F065D">
              <w:rPr>
                <w:rFonts w:ascii="Arial" w:hAnsi="Arial" w:cs="Arial"/>
                <w:b/>
                <w:sz w:val="20"/>
                <w:szCs w:val="20"/>
              </w:rPr>
              <w:t>Recognition of prior learning</w:t>
            </w:r>
          </w:p>
          <w:p w:rsidR="003F065D" w:rsidRPr="003F065D" w:rsidRDefault="003F065D" w:rsidP="003F065D">
            <w:pPr>
              <w:pStyle w:val="ListParagraph"/>
              <w:rPr>
                <w:rFonts w:ascii="Arial" w:hAnsi="Arial" w:cs="Arial"/>
                <w:b/>
                <w:sz w:val="20"/>
                <w:szCs w:val="20"/>
              </w:rPr>
            </w:pPr>
          </w:p>
          <w:p w:rsidR="003F065D" w:rsidRDefault="003F065D" w:rsidP="009F7E68">
            <w:pPr>
              <w:pStyle w:val="ListParagraph"/>
              <w:numPr>
                <w:ilvl w:val="0"/>
                <w:numId w:val="2"/>
              </w:numPr>
              <w:tabs>
                <w:tab w:val="right" w:pos="2540"/>
              </w:tabs>
              <w:spacing w:before="60" w:after="120"/>
              <w:ind w:right="-16"/>
              <w:rPr>
                <w:rFonts w:ascii="Arial" w:hAnsi="Arial" w:cs="Arial"/>
                <w:b/>
                <w:sz w:val="20"/>
                <w:szCs w:val="20"/>
              </w:rPr>
            </w:pPr>
            <w:r w:rsidRPr="003F065D">
              <w:rPr>
                <w:rFonts w:ascii="Arial" w:hAnsi="Arial" w:cs="Arial"/>
                <w:b/>
                <w:sz w:val="20"/>
                <w:szCs w:val="20"/>
              </w:rPr>
              <w:t>ASIC’s small business booklet</w:t>
            </w:r>
          </w:p>
          <w:p w:rsidR="00E10F5D" w:rsidRPr="00E10F5D" w:rsidRDefault="00E10F5D" w:rsidP="00E10F5D">
            <w:pPr>
              <w:pStyle w:val="ListParagraph"/>
              <w:rPr>
                <w:rFonts w:ascii="Arial" w:hAnsi="Arial" w:cs="Arial"/>
                <w:b/>
                <w:sz w:val="20"/>
                <w:szCs w:val="20"/>
              </w:rPr>
            </w:pPr>
          </w:p>
          <w:p w:rsidR="00E10F5D" w:rsidRPr="004C0A05" w:rsidRDefault="00E10F5D" w:rsidP="009F7E68">
            <w:pPr>
              <w:pStyle w:val="ListParagraph"/>
              <w:numPr>
                <w:ilvl w:val="0"/>
                <w:numId w:val="2"/>
              </w:numPr>
              <w:tabs>
                <w:tab w:val="right" w:pos="2540"/>
              </w:tabs>
              <w:spacing w:before="60" w:after="120"/>
              <w:ind w:right="-16"/>
              <w:rPr>
                <w:rFonts w:ascii="Arial" w:hAnsi="Arial" w:cs="Arial"/>
                <w:b/>
                <w:sz w:val="20"/>
                <w:szCs w:val="20"/>
              </w:rPr>
            </w:pPr>
            <w:r w:rsidRPr="004C0A05">
              <w:rPr>
                <w:rFonts w:ascii="Arial" w:hAnsi="Arial" w:cs="Arial"/>
                <w:b/>
                <w:sz w:val="20"/>
                <w:szCs w:val="20"/>
              </w:rPr>
              <w:t>Proactive compliance visits</w:t>
            </w:r>
          </w:p>
          <w:p w:rsidR="00412E13" w:rsidRPr="003F065D" w:rsidRDefault="00412E13" w:rsidP="00E10F5D">
            <w:pPr>
              <w:tabs>
                <w:tab w:val="right" w:pos="2540"/>
              </w:tabs>
              <w:ind w:right="-16"/>
              <w:rPr>
                <w:rFonts w:ascii="Arial" w:hAnsi="Arial" w:cs="Arial"/>
                <w:sz w:val="20"/>
                <w:szCs w:val="20"/>
              </w:rPr>
            </w:pPr>
          </w:p>
        </w:tc>
        <w:tc>
          <w:tcPr>
            <w:tcW w:w="10302" w:type="dxa"/>
          </w:tcPr>
          <w:p w:rsidR="00D21736" w:rsidRPr="003F065D" w:rsidRDefault="00D37B66" w:rsidP="009F7E68">
            <w:pPr>
              <w:pStyle w:val="ListParagraph"/>
              <w:numPr>
                <w:ilvl w:val="0"/>
                <w:numId w:val="1"/>
              </w:numPr>
              <w:spacing w:before="120" w:after="60"/>
              <w:ind w:left="287"/>
              <w:jc w:val="both"/>
              <w:rPr>
                <w:rFonts w:ascii="Arial" w:hAnsi="Arial" w:cs="Arial"/>
                <w:sz w:val="20"/>
                <w:szCs w:val="20"/>
              </w:rPr>
            </w:pPr>
            <w:r w:rsidRPr="003F065D">
              <w:rPr>
                <w:rFonts w:ascii="Arial" w:hAnsi="Arial" w:cs="Arial"/>
                <w:sz w:val="20"/>
                <w:szCs w:val="20"/>
              </w:rPr>
              <w:t>B</w:t>
            </w:r>
            <w:r w:rsidR="00412E13" w:rsidRPr="003F065D">
              <w:rPr>
                <w:rFonts w:ascii="Arial" w:hAnsi="Arial" w:cs="Arial"/>
                <w:sz w:val="20"/>
                <w:szCs w:val="20"/>
              </w:rPr>
              <w:t xml:space="preserve">ring forms in line with current policies under the </w:t>
            </w:r>
            <w:r w:rsidR="00412E13" w:rsidRPr="003F065D">
              <w:rPr>
                <w:rFonts w:ascii="Arial" w:hAnsi="Arial" w:cs="Arial"/>
                <w:i/>
                <w:iCs/>
                <w:sz w:val="20"/>
                <w:szCs w:val="20"/>
              </w:rPr>
              <w:t>S</w:t>
            </w:r>
            <w:r w:rsidR="009E1F24" w:rsidRPr="003F065D">
              <w:rPr>
                <w:rFonts w:ascii="Arial" w:hAnsi="Arial" w:cs="Arial"/>
                <w:i/>
                <w:iCs/>
                <w:sz w:val="20"/>
                <w:szCs w:val="20"/>
              </w:rPr>
              <w:t xml:space="preserve">A </w:t>
            </w:r>
            <w:r w:rsidR="00412E13" w:rsidRPr="003F065D">
              <w:rPr>
                <w:rFonts w:ascii="Arial" w:hAnsi="Arial" w:cs="Arial"/>
                <w:i/>
                <w:iCs/>
                <w:sz w:val="20"/>
                <w:szCs w:val="20"/>
              </w:rPr>
              <w:t>Act 1981</w:t>
            </w:r>
            <w:r w:rsidRPr="003F065D">
              <w:rPr>
                <w:rFonts w:ascii="Arial" w:hAnsi="Arial" w:cs="Arial"/>
                <w:i/>
                <w:iCs/>
                <w:sz w:val="20"/>
                <w:szCs w:val="20"/>
              </w:rPr>
              <w:t>,</w:t>
            </w:r>
            <w:r w:rsidRPr="003F065D">
              <w:rPr>
                <w:rFonts w:ascii="Arial" w:hAnsi="Arial" w:cs="Arial"/>
                <w:sz w:val="20"/>
                <w:szCs w:val="20"/>
              </w:rPr>
              <w:t xml:space="preserve"> </w:t>
            </w:r>
            <w:r w:rsidR="00412E13" w:rsidRPr="003F065D">
              <w:rPr>
                <w:rFonts w:ascii="Arial" w:hAnsi="Arial" w:cs="Arial"/>
                <w:sz w:val="20"/>
                <w:szCs w:val="20"/>
              </w:rPr>
              <w:t xml:space="preserve">reduce red tape for business and streamline </w:t>
            </w:r>
            <w:r w:rsidRPr="003F065D">
              <w:rPr>
                <w:rFonts w:ascii="Arial" w:hAnsi="Arial" w:cs="Arial"/>
                <w:sz w:val="20"/>
                <w:szCs w:val="20"/>
              </w:rPr>
              <w:t>p</w:t>
            </w:r>
            <w:r w:rsidR="00412E13" w:rsidRPr="003F065D">
              <w:rPr>
                <w:rFonts w:ascii="Arial" w:hAnsi="Arial" w:cs="Arial"/>
                <w:sz w:val="20"/>
                <w:szCs w:val="20"/>
              </w:rPr>
              <w:t>rocess</w:t>
            </w:r>
            <w:r w:rsidRPr="003F065D">
              <w:rPr>
                <w:rFonts w:ascii="Arial" w:hAnsi="Arial" w:cs="Arial"/>
                <w:sz w:val="20"/>
                <w:szCs w:val="20"/>
              </w:rPr>
              <w:t>ing</w:t>
            </w:r>
            <w:r w:rsidR="00412E13" w:rsidRPr="003F065D">
              <w:rPr>
                <w:rFonts w:ascii="Arial" w:hAnsi="Arial" w:cs="Arial"/>
                <w:sz w:val="20"/>
                <w:szCs w:val="20"/>
              </w:rPr>
              <w:t>.</w:t>
            </w:r>
          </w:p>
          <w:p w:rsidR="00647FDD" w:rsidRPr="003F065D" w:rsidRDefault="00647FDD" w:rsidP="00647FDD">
            <w:pPr>
              <w:spacing w:before="60" w:after="60"/>
              <w:jc w:val="both"/>
              <w:rPr>
                <w:rFonts w:ascii="Arial" w:hAnsi="Arial" w:cs="Arial"/>
                <w:sz w:val="20"/>
                <w:szCs w:val="20"/>
              </w:rPr>
            </w:pPr>
          </w:p>
          <w:p w:rsidR="00D37B66" w:rsidRPr="003F065D" w:rsidRDefault="002B5EFB" w:rsidP="009F7E68">
            <w:pPr>
              <w:pStyle w:val="ListParagraph"/>
              <w:numPr>
                <w:ilvl w:val="0"/>
                <w:numId w:val="1"/>
              </w:numPr>
              <w:spacing w:before="60" w:after="60"/>
              <w:ind w:left="287"/>
              <w:jc w:val="both"/>
              <w:rPr>
                <w:rFonts w:ascii="Arial" w:hAnsi="Arial" w:cs="Arial"/>
                <w:sz w:val="20"/>
                <w:szCs w:val="20"/>
              </w:rPr>
            </w:pPr>
            <w:r w:rsidRPr="003F065D">
              <w:rPr>
                <w:rFonts w:ascii="Arial" w:hAnsi="Arial" w:cs="Arial"/>
                <w:sz w:val="20"/>
                <w:szCs w:val="20"/>
              </w:rPr>
              <w:t>Commissioner may enter into a Master Policy Agreement with an appointed Insurer under t</w:t>
            </w:r>
            <w:r w:rsidR="00D37B66" w:rsidRPr="003F065D">
              <w:rPr>
                <w:rFonts w:ascii="Arial" w:hAnsi="Arial" w:cs="Arial"/>
                <w:sz w:val="20"/>
                <w:szCs w:val="20"/>
              </w:rPr>
              <w:t xml:space="preserve">he </w:t>
            </w:r>
            <w:r w:rsidR="00D37B66" w:rsidRPr="003F065D">
              <w:rPr>
                <w:rFonts w:ascii="Arial" w:hAnsi="Arial" w:cs="Arial"/>
                <w:i/>
                <w:iCs/>
                <w:sz w:val="20"/>
                <w:szCs w:val="20"/>
              </w:rPr>
              <w:t>S</w:t>
            </w:r>
            <w:r w:rsidR="009E1F24" w:rsidRPr="003F065D">
              <w:rPr>
                <w:rFonts w:ascii="Arial" w:hAnsi="Arial" w:cs="Arial"/>
                <w:i/>
                <w:iCs/>
                <w:sz w:val="20"/>
                <w:szCs w:val="20"/>
              </w:rPr>
              <w:t xml:space="preserve">A </w:t>
            </w:r>
            <w:r w:rsidR="00D37B66" w:rsidRPr="003F065D">
              <w:rPr>
                <w:rFonts w:ascii="Arial" w:hAnsi="Arial" w:cs="Arial"/>
                <w:i/>
                <w:iCs/>
                <w:sz w:val="20"/>
                <w:szCs w:val="20"/>
              </w:rPr>
              <w:t xml:space="preserve">Act </w:t>
            </w:r>
            <w:r w:rsidR="00147630" w:rsidRPr="003F065D">
              <w:rPr>
                <w:rFonts w:ascii="Arial" w:hAnsi="Arial" w:cs="Arial"/>
                <w:i/>
                <w:iCs/>
                <w:sz w:val="20"/>
                <w:szCs w:val="20"/>
              </w:rPr>
              <w:t>1981</w:t>
            </w:r>
            <w:r w:rsidR="00147630" w:rsidRPr="003F065D">
              <w:rPr>
                <w:rFonts w:ascii="Arial" w:hAnsi="Arial" w:cs="Arial"/>
                <w:sz w:val="20"/>
                <w:szCs w:val="20"/>
              </w:rPr>
              <w:t xml:space="preserve"> providing</w:t>
            </w:r>
            <w:r w:rsidR="00D37B66" w:rsidRPr="003F065D">
              <w:rPr>
                <w:rFonts w:ascii="Arial" w:hAnsi="Arial" w:cs="Arial"/>
                <w:sz w:val="20"/>
                <w:szCs w:val="20"/>
              </w:rPr>
              <w:t xml:space="preserve"> arrangements for fidelity insurance and professional indemnity insurance for licensees on such terms and conditions as the Commissioner thinks fit.</w:t>
            </w:r>
          </w:p>
          <w:p w:rsidR="00647FDD" w:rsidRPr="003F065D" w:rsidRDefault="00647FDD" w:rsidP="00647FDD">
            <w:pPr>
              <w:pStyle w:val="ListParagraph"/>
              <w:rPr>
                <w:rFonts w:ascii="Arial" w:hAnsi="Arial" w:cs="Arial"/>
                <w:sz w:val="20"/>
                <w:szCs w:val="20"/>
              </w:rPr>
            </w:pPr>
          </w:p>
          <w:p w:rsidR="00D37B66" w:rsidRPr="003F065D" w:rsidRDefault="00147630" w:rsidP="009F7E68">
            <w:pPr>
              <w:pStyle w:val="ListParagraph"/>
              <w:numPr>
                <w:ilvl w:val="0"/>
                <w:numId w:val="1"/>
              </w:numPr>
              <w:spacing w:before="60" w:after="60"/>
              <w:ind w:left="287"/>
              <w:jc w:val="both"/>
              <w:rPr>
                <w:rFonts w:ascii="Arial" w:hAnsi="Arial" w:cs="Arial"/>
                <w:sz w:val="20"/>
                <w:szCs w:val="20"/>
              </w:rPr>
            </w:pPr>
            <w:r w:rsidRPr="003F065D">
              <w:rPr>
                <w:rFonts w:ascii="Arial" w:hAnsi="Arial" w:cs="Arial"/>
                <w:sz w:val="20"/>
                <w:szCs w:val="20"/>
              </w:rPr>
              <w:t>U</w:t>
            </w:r>
            <w:r w:rsidR="002B5EFB" w:rsidRPr="003F065D">
              <w:rPr>
                <w:rFonts w:ascii="Arial" w:hAnsi="Arial" w:cs="Arial"/>
                <w:sz w:val="20"/>
                <w:szCs w:val="20"/>
              </w:rPr>
              <w:t>pdated version in the Gov</w:t>
            </w:r>
            <w:r w:rsidR="009E1F24" w:rsidRPr="003F065D">
              <w:rPr>
                <w:rFonts w:ascii="Arial" w:hAnsi="Arial" w:cs="Arial"/>
                <w:sz w:val="20"/>
                <w:szCs w:val="20"/>
              </w:rPr>
              <w:t>t G</w:t>
            </w:r>
            <w:r w:rsidR="002B5EFB" w:rsidRPr="003F065D">
              <w:rPr>
                <w:rFonts w:ascii="Arial" w:hAnsi="Arial" w:cs="Arial"/>
                <w:sz w:val="20"/>
                <w:szCs w:val="20"/>
              </w:rPr>
              <w:t>azette on 16</w:t>
            </w:r>
            <w:r w:rsidR="009E1F24" w:rsidRPr="003F065D">
              <w:rPr>
                <w:rFonts w:ascii="Arial" w:hAnsi="Arial" w:cs="Arial"/>
                <w:sz w:val="20"/>
                <w:szCs w:val="20"/>
              </w:rPr>
              <w:t>/10/</w:t>
            </w:r>
            <w:r w:rsidR="002B5EFB" w:rsidRPr="003F065D">
              <w:rPr>
                <w:rFonts w:ascii="Arial" w:hAnsi="Arial" w:cs="Arial"/>
                <w:sz w:val="20"/>
                <w:szCs w:val="20"/>
              </w:rPr>
              <w:t xml:space="preserve">2013 </w:t>
            </w:r>
            <w:r w:rsidR="003F065D">
              <w:rPr>
                <w:rFonts w:ascii="Arial" w:hAnsi="Arial" w:cs="Arial"/>
                <w:sz w:val="20"/>
                <w:szCs w:val="20"/>
              </w:rPr>
              <w:t xml:space="preserve">- </w:t>
            </w:r>
            <w:r w:rsidR="002B5EFB" w:rsidRPr="003F065D">
              <w:rPr>
                <w:rFonts w:ascii="Arial" w:hAnsi="Arial" w:cs="Arial"/>
                <w:sz w:val="20"/>
                <w:szCs w:val="20"/>
              </w:rPr>
              <w:t>available on the State Law</w:t>
            </w:r>
            <w:r w:rsidR="00D06FF8" w:rsidRPr="003F065D">
              <w:rPr>
                <w:rFonts w:ascii="Arial" w:hAnsi="Arial" w:cs="Arial"/>
                <w:sz w:val="20"/>
                <w:szCs w:val="20"/>
              </w:rPr>
              <w:t xml:space="preserve"> </w:t>
            </w:r>
            <w:r w:rsidR="002B5EFB" w:rsidRPr="003F065D">
              <w:rPr>
                <w:rFonts w:ascii="Arial" w:hAnsi="Arial" w:cs="Arial"/>
                <w:sz w:val="20"/>
                <w:szCs w:val="20"/>
              </w:rPr>
              <w:t>Publisher’s website.</w:t>
            </w:r>
          </w:p>
          <w:p w:rsidR="00E62D53" w:rsidRPr="003F065D" w:rsidRDefault="00E62D53" w:rsidP="001E330D">
            <w:pPr>
              <w:pStyle w:val="ListParagraph"/>
              <w:spacing w:before="60" w:after="60"/>
              <w:ind w:left="287"/>
              <w:jc w:val="both"/>
              <w:rPr>
                <w:rFonts w:ascii="Arial" w:hAnsi="Arial" w:cs="Arial"/>
                <w:sz w:val="20"/>
                <w:szCs w:val="20"/>
              </w:rPr>
            </w:pPr>
          </w:p>
          <w:p w:rsidR="00147630" w:rsidRPr="003F065D" w:rsidRDefault="00147630" w:rsidP="009F7E68">
            <w:pPr>
              <w:pStyle w:val="ListParagraph"/>
              <w:numPr>
                <w:ilvl w:val="0"/>
                <w:numId w:val="1"/>
              </w:numPr>
              <w:spacing w:before="60" w:after="60"/>
              <w:ind w:left="287"/>
              <w:jc w:val="both"/>
              <w:rPr>
                <w:rFonts w:ascii="Arial" w:hAnsi="Arial" w:cs="Arial"/>
                <w:sz w:val="20"/>
                <w:szCs w:val="20"/>
              </w:rPr>
            </w:pPr>
            <w:r w:rsidRPr="003F065D">
              <w:rPr>
                <w:rFonts w:ascii="Arial" w:hAnsi="Arial" w:cs="Arial"/>
                <w:i/>
                <w:sz w:val="20"/>
                <w:szCs w:val="20"/>
              </w:rPr>
              <w:t>Diploma of Financial Services (Conveyancing)</w:t>
            </w:r>
            <w:r w:rsidRPr="003F065D">
              <w:rPr>
                <w:rFonts w:ascii="Arial" w:hAnsi="Arial" w:cs="Arial"/>
                <w:sz w:val="20"/>
                <w:szCs w:val="20"/>
              </w:rPr>
              <w:t xml:space="preserve"> and the two previously required units, </w:t>
            </w:r>
            <w:r w:rsidRPr="003F065D">
              <w:rPr>
                <w:rFonts w:ascii="Arial" w:hAnsi="Arial" w:cs="Arial"/>
                <w:i/>
                <w:sz w:val="20"/>
                <w:szCs w:val="20"/>
              </w:rPr>
              <w:t>‘Obtain and analyse</w:t>
            </w:r>
            <w:r w:rsidR="00D06FF8" w:rsidRPr="003F065D">
              <w:rPr>
                <w:rFonts w:ascii="Arial" w:hAnsi="Arial" w:cs="Arial"/>
                <w:i/>
                <w:sz w:val="20"/>
                <w:szCs w:val="20"/>
              </w:rPr>
              <w:t xml:space="preserve"> </w:t>
            </w:r>
            <w:r w:rsidRPr="003F065D">
              <w:rPr>
                <w:rFonts w:ascii="Arial" w:hAnsi="Arial" w:cs="Arial"/>
                <w:i/>
                <w:sz w:val="20"/>
                <w:szCs w:val="20"/>
              </w:rPr>
              <w:t>all information for the transaction’</w:t>
            </w:r>
            <w:r w:rsidRPr="003F065D">
              <w:rPr>
                <w:rFonts w:ascii="Arial" w:hAnsi="Arial" w:cs="Arial"/>
                <w:sz w:val="20"/>
                <w:szCs w:val="20"/>
              </w:rPr>
              <w:t xml:space="preserve"> and </w:t>
            </w:r>
            <w:r w:rsidRPr="003F065D">
              <w:rPr>
                <w:rFonts w:ascii="Arial" w:hAnsi="Arial" w:cs="Arial"/>
                <w:i/>
                <w:sz w:val="20"/>
                <w:szCs w:val="20"/>
              </w:rPr>
              <w:t>‘Negotiate to achieve goals and manage disputes’</w:t>
            </w:r>
            <w:r w:rsidRPr="003F065D">
              <w:rPr>
                <w:rFonts w:ascii="Arial" w:hAnsi="Arial" w:cs="Arial"/>
                <w:sz w:val="20"/>
                <w:szCs w:val="20"/>
              </w:rPr>
              <w:t xml:space="preserve">, superseded by the </w:t>
            </w:r>
            <w:r w:rsidRPr="003F065D">
              <w:rPr>
                <w:rFonts w:ascii="Arial" w:hAnsi="Arial" w:cs="Arial"/>
                <w:i/>
                <w:sz w:val="20"/>
                <w:szCs w:val="20"/>
              </w:rPr>
              <w:t>Diploma of Conveyancing</w:t>
            </w:r>
            <w:r w:rsidRPr="003F065D">
              <w:rPr>
                <w:rFonts w:ascii="Arial" w:hAnsi="Arial" w:cs="Arial"/>
                <w:sz w:val="20"/>
                <w:szCs w:val="20"/>
              </w:rPr>
              <w:t xml:space="preserve"> at the national level.</w:t>
            </w:r>
            <w:r w:rsidR="00D06FF8" w:rsidRPr="003F065D">
              <w:rPr>
                <w:rFonts w:ascii="Arial" w:hAnsi="Arial" w:cs="Arial"/>
                <w:sz w:val="20"/>
                <w:szCs w:val="20"/>
              </w:rPr>
              <w:t xml:space="preserve">  </w:t>
            </w:r>
            <w:r w:rsidRPr="003F065D">
              <w:rPr>
                <w:rFonts w:ascii="Arial" w:hAnsi="Arial" w:cs="Arial"/>
                <w:sz w:val="20"/>
                <w:szCs w:val="20"/>
              </w:rPr>
              <w:t>Dep</w:t>
            </w:r>
            <w:r w:rsidR="00C00551" w:rsidRPr="003F065D">
              <w:rPr>
                <w:rFonts w:ascii="Arial" w:hAnsi="Arial" w:cs="Arial"/>
                <w:sz w:val="20"/>
                <w:szCs w:val="20"/>
              </w:rPr>
              <w:t>t</w:t>
            </w:r>
            <w:r w:rsidR="003F065D">
              <w:rPr>
                <w:rFonts w:ascii="Arial" w:hAnsi="Arial" w:cs="Arial"/>
                <w:sz w:val="20"/>
                <w:szCs w:val="20"/>
              </w:rPr>
              <w:t>.</w:t>
            </w:r>
            <w:r w:rsidR="00C00551" w:rsidRPr="003F065D">
              <w:rPr>
                <w:rFonts w:ascii="Arial" w:hAnsi="Arial" w:cs="Arial"/>
                <w:sz w:val="20"/>
                <w:szCs w:val="20"/>
              </w:rPr>
              <w:t xml:space="preserve"> </w:t>
            </w:r>
            <w:r w:rsidR="000F050A" w:rsidRPr="003F065D">
              <w:rPr>
                <w:rFonts w:ascii="Arial" w:hAnsi="Arial" w:cs="Arial"/>
                <w:sz w:val="20"/>
                <w:szCs w:val="20"/>
              </w:rPr>
              <w:t>will</w:t>
            </w:r>
            <w:r w:rsidRPr="003F065D">
              <w:rPr>
                <w:rFonts w:ascii="Arial" w:hAnsi="Arial" w:cs="Arial"/>
                <w:sz w:val="20"/>
                <w:szCs w:val="20"/>
              </w:rPr>
              <w:t xml:space="preserve"> continue to accept a </w:t>
            </w:r>
            <w:r w:rsidRPr="003F065D">
              <w:rPr>
                <w:rFonts w:ascii="Arial" w:hAnsi="Arial" w:cs="Arial"/>
                <w:i/>
                <w:sz w:val="20"/>
                <w:szCs w:val="20"/>
              </w:rPr>
              <w:t>Diploma of Financial Services (Conveyancing)</w:t>
            </w:r>
            <w:r w:rsidRPr="003F065D">
              <w:rPr>
                <w:rFonts w:ascii="Arial" w:hAnsi="Arial" w:cs="Arial"/>
                <w:sz w:val="20"/>
                <w:szCs w:val="20"/>
              </w:rPr>
              <w:t xml:space="preserve"> with additional units as meeting the qualification requirement for a real estate settlement licence until 30</w:t>
            </w:r>
            <w:r w:rsidR="009E1F24" w:rsidRPr="003F065D">
              <w:rPr>
                <w:rFonts w:ascii="Arial" w:hAnsi="Arial" w:cs="Arial"/>
                <w:sz w:val="20"/>
                <w:szCs w:val="20"/>
              </w:rPr>
              <w:t>/6/</w:t>
            </w:r>
            <w:r w:rsidRPr="003F065D">
              <w:rPr>
                <w:rFonts w:ascii="Arial" w:hAnsi="Arial" w:cs="Arial"/>
                <w:sz w:val="20"/>
                <w:szCs w:val="20"/>
              </w:rPr>
              <w:t>2014.</w:t>
            </w:r>
          </w:p>
          <w:p w:rsidR="00D06FF8" w:rsidRPr="003F065D" w:rsidRDefault="00D06FF8" w:rsidP="001E330D">
            <w:pPr>
              <w:pStyle w:val="ListParagraph"/>
              <w:spacing w:before="60" w:after="60"/>
              <w:ind w:left="287"/>
              <w:jc w:val="both"/>
              <w:rPr>
                <w:rFonts w:ascii="Arial" w:hAnsi="Arial" w:cs="Arial"/>
                <w:sz w:val="20"/>
                <w:szCs w:val="20"/>
              </w:rPr>
            </w:pPr>
          </w:p>
          <w:p w:rsidR="00147630" w:rsidRPr="003F065D" w:rsidRDefault="00147630" w:rsidP="009F7E68">
            <w:pPr>
              <w:pStyle w:val="ListParagraph"/>
              <w:numPr>
                <w:ilvl w:val="0"/>
                <w:numId w:val="1"/>
              </w:numPr>
              <w:spacing w:before="60" w:after="60"/>
              <w:ind w:left="287"/>
              <w:jc w:val="both"/>
              <w:rPr>
                <w:rFonts w:ascii="Arial" w:hAnsi="Arial" w:cs="Arial"/>
                <w:sz w:val="20"/>
                <w:szCs w:val="20"/>
              </w:rPr>
            </w:pPr>
            <w:r w:rsidRPr="003F065D">
              <w:rPr>
                <w:rFonts w:ascii="Arial" w:hAnsi="Arial" w:cs="Arial"/>
                <w:sz w:val="20"/>
                <w:szCs w:val="20"/>
              </w:rPr>
              <w:t>Department reminds agents of their duties once instructions to act are received.  S</w:t>
            </w:r>
            <w:r w:rsidR="003F065D">
              <w:rPr>
                <w:rFonts w:ascii="Arial" w:hAnsi="Arial" w:cs="Arial"/>
                <w:sz w:val="20"/>
                <w:szCs w:val="20"/>
              </w:rPr>
              <w:t>s</w:t>
            </w:r>
            <w:r w:rsidR="009E1F24" w:rsidRPr="003F065D">
              <w:rPr>
                <w:rFonts w:ascii="Arial" w:hAnsi="Arial" w:cs="Arial"/>
                <w:sz w:val="20"/>
                <w:szCs w:val="20"/>
              </w:rPr>
              <w:t>.</w:t>
            </w:r>
            <w:r w:rsidRPr="003F065D">
              <w:rPr>
                <w:rFonts w:ascii="Arial" w:hAnsi="Arial" w:cs="Arial"/>
                <w:sz w:val="20"/>
                <w:szCs w:val="20"/>
              </w:rPr>
              <w:t xml:space="preserve"> 10, 15 and 18 of the S</w:t>
            </w:r>
            <w:r w:rsidR="009E1F24" w:rsidRPr="003F065D">
              <w:rPr>
                <w:rFonts w:ascii="Arial" w:hAnsi="Arial" w:cs="Arial"/>
                <w:sz w:val="20"/>
                <w:szCs w:val="20"/>
              </w:rPr>
              <w:t>A</w:t>
            </w:r>
            <w:r w:rsidRPr="003F065D">
              <w:rPr>
                <w:rFonts w:ascii="Arial" w:hAnsi="Arial" w:cs="Arial"/>
                <w:sz w:val="20"/>
                <w:szCs w:val="20"/>
              </w:rPr>
              <w:t xml:space="preserve"> Code of Conduct 1982 (the Code) are explicit on what is expected of agents.</w:t>
            </w:r>
          </w:p>
          <w:p w:rsidR="00C00551" w:rsidRPr="003F065D" w:rsidRDefault="00C00551" w:rsidP="001E330D">
            <w:pPr>
              <w:pStyle w:val="ListParagraph"/>
              <w:ind w:left="287"/>
              <w:jc w:val="both"/>
              <w:rPr>
                <w:rFonts w:ascii="Arial" w:hAnsi="Arial" w:cs="Arial"/>
                <w:sz w:val="20"/>
                <w:szCs w:val="20"/>
              </w:rPr>
            </w:pPr>
          </w:p>
          <w:p w:rsidR="00EB4D2A" w:rsidRPr="003F065D" w:rsidRDefault="00EB4D2A" w:rsidP="009F7E68">
            <w:pPr>
              <w:pStyle w:val="ListParagraph"/>
              <w:numPr>
                <w:ilvl w:val="0"/>
                <w:numId w:val="1"/>
              </w:numPr>
              <w:spacing w:before="60" w:after="60"/>
              <w:ind w:left="287"/>
              <w:jc w:val="both"/>
              <w:rPr>
                <w:rFonts w:ascii="Arial" w:hAnsi="Arial" w:cs="Arial"/>
                <w:sz w:val="20"/>
                <w:szCs w:val="20"/>
              </w:rPr>
            </w:pPr>
            <w:r w:rsidRPr="003F065D">
              <w:rPr>
                <w:rFonts w:ascii="Arial" w:hAnsi="Arial" w:cs="Arial"/>
                <w:sz w:val="20"/>
                <w:szCs w:val="20"/>
              </w:rPr>
              <w:t xml:space="preserve">Minister for Commerce approved a </w:t>
            </w:r>
            <w:r w:rsidRPr="003F065D">
              <w:rPr>
                <w:rFonts w:ascii="Arial" w:hAnsi="Arial" w:cs="Arial"/>
                <w:i/>
                <w:iCs/>
                <w:sz w:val="20"/>
                <w:szCs w:val="20"/>
              </w:rPr>
              <w:t xml:space="preserve">Remuneration Notice 2013 </w:t>
            </w:r>
            <w:r w:rsidRPr="003F065D">
              <w:rPr>
                <w:rFonts w:ascii="Arial" w:hAnsi="Arial" w:cs="Arial"/>
                <w:sz w:val="20"/>
                <w:szCs w:val="20"/>
              </w:rPr>
              <w:t>prescribing the maximum remuneration settlement agents can receive when carrying out real estate settlement transactions and business settlement transactions. (Govt. Gazette 17</w:t>
            </w:r>
            <w:r w:rsidR="009E1F24" w:rsidRPr="003F065D">
              <w:rPr>
                <w:rFonts w:ascii="Arial" w:hAnsi="Arial" w:cs="Arial"/>
                <w:sz w:val="20"/>
                <w:szCs w:val="20"/>
              </w:rPr>
              <w:t>/9/2</w:t>
            </w:r>
            <w:r w:rsidRPr="003F065D">
              <w:rPr>
                <w:rFonts w:ascii="Arial" w:hAnsi="Arial" w:cs="Arial"/>
                <w:sz w:val="20"/>
                <w:szCs w:val="20"/>
              </w:rPr>
              <w:t>013; effective from 1</w:t>
            </w:r>
            <w:r w:rsidR="009E1F24" w:rsidRPr="003F065D">
              <w:rPr>
                <w:rFonts w:ascii="Arial" w:hAnsi="Arial" w:cs="Arial"/>
                <w:sz w:val="20"/>
                <w:szCs w:val="20"/>
              </w:rPr>
              <w:t>/10/</w:t>
            </w:r>
            <w:r w:rsidRPr="003F065D">
              <w:rPr>
                <w:rFonts w:ascii="Arial" w:hAnsi="Arial" w:cs="Arial"/>
                <w:sz w:val="20"/>
                <w:szCs w:val="20"/>
              </w:rPr>
              <w:t>2013</w:t>
            </w:r>
            <w:r w:rsidR="009E1F24" w:rsidRPr="003F065D">
              <w:rPr>
                <w:rFonts w:ascii="Arial" w:hAnsi="Arial" w:cs="Arial"/>
                <w:sz w:val="20"/>
                <w:szCs w:val="20"/>
              </w:rPr>
              <w:t>)</w:t>
            </w:r>
            <w:r w:rsidRPr="003F065D">
              <w:rPr>
                <w:rFonts w:ascii="Arial" w:hAnsi="Arial" w:cs="Arial"/>
                <w:sz w:val="20"/>
                <w:szCs w:val="20"/>
              </w:rPr>
              <w:t>.</w:t>
            </w:r>
          </w:p>
          <w:p w:rsidR="00C00551" w:rsidRPr="003F065D" w:rsidRDefault="00C00551" w:rsidP="001E330D">
            <w:pPr>
              <w:pStyle w:val="ListParagraph"/>
              <w:spacing w:before="60" w:after="60"/>
              <w:ind w:left="287"/>
              <w:jc w:val="both"/>
              <w:rPr>
                <w:rFonts w:ascii="Arial" w:hAnsi="Arial" w:cs="Arial"/>
                <w:sz w:val="20"/>
                <w:szCs w:val="20"/>
              </w:rPr>
            </w:pPr>
          </w:p>
          <w:p w:rsidR="00EB4D2A" w:rsidRPr="004C0A05" w:rsidRDefault="00EB4D2A" w:rsidP="009F7E68">
            <w:pPr>
              <w:pStyle w:val="ListParagraph"/>
              <w:numPr>
                <w:ilvl w:val="0"/>
                <w:numId w:val="1"/>
              </w:numPr>
              <w:spacing w:before="60" w:after="60"/>
              <w:ind w:left="287"/>
              <w:jc w:val="both"/>
              <w:rPr>
                <w:rFonts w:ascii="Arial" w:hAnsi="Arial" w:cs="Arial"/>
                <w:sz w:val="20"/>
                <w:szCs w:val="20"/>
              </w:rPr>
            </w:pPr>
            <w:r w:rsidRPr="004C0A05">
              <w:rPr>
                <w:rFonts w:ascii="Arial" w:hAnsi="Arial" w:cs="Arial"/>
                <w:sz w:val="20"/>
                <w:szCs w:val="20"/>
              </w:rPr>
              <w:t xml:space="preserve">CPD program part of the licensing framework </w:t>
            </w:r>
            <w:proofErr w:type="gramStart"/>
            <w:r w:rsidR="00D06FF8" w:rsidRPr="004C0A05">
              <w:rPr>
                <w:rFonts w:ascii="Arial" w:hAnsi="Arial" w:cs="Arial"/>
                <w:sz w:val="20"/>
                <w:szCs w:val="20"/>
              </w:rPr>
              <w:t>r</w:t>
            </w:r>
            <w:r w:rsidRPr="004C0A05">
              <w:rPr>
                <w:rFonts w:ascii="Arial" w:hAnsi="Arial" w:cs="Arial"/>
                <w:sz w:val="20"/>
                <w:szCs w:val="20"/>
              </w:rPr>
              <w:t>equir</w:t>
            </w:r>
            <w:r w:rsidR="009E1F24" w:rsidRPr="004C0A05">
              <w:rPr>
                <w:rFonts w:ascii="Arial" w:hAnsi="Arial" w:cs="Arial"/>
                <w:sz w:val="20"/>
                <w:szCs w:val="20"/>
              </w:rPr>
              <w:t xml:space="preserve">ing </w:t>
            </w:r>
            <w:r w:rsidRPr="004C0A05">
              <w:rPr>
                <w:rFonts w:ascii="Arial" w:hAnsi="Arial" w:cs="Arial"/>
                <w:sz w:val="20"/>
                <w:szCs w:val="20"/>
              </w:rPr>
              <w:t xml:space="preserve"> all</w:t>
            </w:r>
            <w:proofErr w:type="gramEnd"/>
            <w:r w:rsidRPr="004C0A05">
              <w:rPr>
                <w:rFonts w:ascii="Arial" w:hAnsi="Arial" w:cs="Arial"/>
                <w:sz w:val="20"/>
                <w:szCs w:val="20"/>
              </w:rPr>
              <w:t xml:space="preserve"> settl</w:t>
            </w:r>
            <w:r w:rsidR="009E1F24" w:rsidRPr="004C0A05">
              <w:rPr>
                <w:rFonts w:ascii="Arial" w:hAnsi="Arial" w:cs="Arial"/>
                <w:sz w:val="20"/>
                <w:szCs w:val="20"/>
              </w:rPr>
              <w:t>ement agents to comply with the </w:t>
            </w:r>
            <w:r w:rsidRPr="004C0A05">
              <w:rPr>
                <w:rFonts w:ascii="Arial" w:hAnsi="Arial" w:cs="Arial"/>
                <w:sz w:val="20"/>
                <w:szCs w:val="20"/>
              </w:rPr>
              <w:t>requirements of the program as prescribed by the licensing legislation.</w:t>
            </w:r>
          </w:p>
          <w:p w:rsidR="0041466A" w:rsidRPr="003F065D" w:rsidRDefault="0041466A" w:rsidP="001E330D">
            <w:pPr>
              <w:pStyle w:val="ListParagraph"/>
              <w:ind w:left="287"/>
              <w:rPr>
                <w:rFonts w:ascii="Arial" w:hAnsi="Arial" w:cs="Arial"/>
                <w:strike/>
                <w:sz w:val="20"/>
                <w:szCs w:val="20"/>
              </w:rPr>
            </w:pPr>
          </w:p>
          <w:p w:rsidR="0041466A" w:rsidRDefault="003F065D" w:rsidP="009F7E68">
            <w:pPr>
              <w:pStyle w:val="ListParagraph"/>
              <w:numPr>
                <w:ilvl w:val="0"/>
                <w:numId w:val="1"/>
              </w:numPr>
              <w:spacing w:before="120" w:after="120"/>
              <w:ind w:left="287"/>
              <w:rPr>
                <w:rFonts w:ascii="Arial" w:hAnsi="Arial" w:cs="Arial"/>
                <w:sz w:val="20"/>
                <w:szCs w:val="20"/>
              </w:rPr>
            </w:pPr>
            <w:r>
              <w:rPr>
                <w:rFonts w:ascii="Arial" w:hAnsi="Arial" w:cs="Arial"/>
                <w:sz w:val="20"/>
                <w:szCs w:val="20"/>
              </w:rPr>
              <w:t>Outlines p</w:t>
            </w:r>
            <w:r w:rsidR="0007660B" w:rsidRPr="003F065D">
              <w:rPr>
                <w:rFonts w:ascii="Arial" w:hAnsi="Arial" w:cs="Arial"/>
                <w:sz w:val="20"/>
                <w:szCs w:val="20"/>
              </w:rPr>
              <w:t xml:space="preserve">rocess by which the public </w:t>
            </w:r>
            <w:r>
              <w:rPr>
                <w:rFonts w:ascii="Arial" w:hAnsi="Arial" w:cs="Arial"/>
                <w:sz w:val="20"/>
                <w:szCs w:val="20"/>
              </w:rPr>
              <w:t>can</w:t>
            </w:r>
            <w:r w:rsidR="0007660B" w:rsidRPr="003F065D">
              <w:rPr>
                <w:rFonts w:ascii="Arial" w:hAnsi="Arial" w:cs="Arial"/>
                <w:sz w:val="20"/>
                <w:szCs w:val="20"/>
              </w:rPr>
              <w:t xml:space="preserve"> obtain recognition of prior learning as qualification for  prescribed for licensing purposes.</w:t>
            </w:r>
          </w:p>
          <w:p w:rsidR="003F065D" w:rsidRPr="003F065D" w:rsidRDefault="003F065D" w:rsidP="003F065D">
            <w:pPr>
              <w:pStyle w:val="ListParagraph"/>
              <w:rPr>
                <w:rFonts w:ascii="Arial" w:hAnsi="Arial" w:cs="Arial"/>
                <w:sz w:val="20"/>
                <w:szCs w:val="20"/>
              </w:rPr>
            </w:pPr>
          </w:p>
          <w:p w:rsidR="00E10F5D" w:rsidRDefault="003F065D" w:rsidP="009F7E68">
            <w:pPr>
              <w:pStyle w:val="ListParagraph"/>
              <w:numPr>
                <w:ilvl w:val="0"/>
                <w:numId w:val="1"/>
              </w:numPr>
              <w:spacing w:before="240" w:after="60"/>
              <w:ind w:left="287"/>
              <w:jc w:val="both"/>
              <w:rPr>
                <w:rFonts w:ascii="Arial" w:hAnsi="Arial" w:cs="Arial"/>
                <w:sz w:val="20"/>
                <w:szCs w:val="20"/>
              </w:rPr>
            </w:pPr>
            <w:r w:rsidRPr="003F065D">
              <w:rPr>
                <w:rFonts w:ascii="Arial" w:hAnsi="Arial" w:cs="Arial"/>
                <w:sz w:val="20"/>
                <w:szCs w:val="20"/>
              </w:rPr>
              <w:t>Booklet to help small businesses know and understand their compliance obligations.</w:t>
            </w:r>
          </w:p>
          <w:p w:rsidR="00E10F5D" w:rsidRPr="003F065D" w:rsidRDefault="00E10F5D" w:rsidP="00E10F5D">
            <w:pPr>
              <w:pStyle w:val="ListParagraph"/>
              <w:rPr>
                <w:rFonts w:ascii="Arial" w:hAnsi="Arial" w:cs="Arial"/>
                <w:sz w:val="20"/>
                <w:szCs w:val="20"/>
              </w:rPr>
            </w:pPr>
          </w:p>
          <w:p w:rsidR="003F065D" w:rsidRPr="004C0A05" w:rsidRDefault="00E10F5D" w:rsidP="009F7E68">
            <w:pPr>
              <w:pStyle w:val="ListParagraph"/>
              <w:numPr>
                <w:ilvl w:val="0"/>
                <w:numId w:val="1"/>
              </w:numPr>
              <w:spacing w:before="120" w:after="120"/>
              <w:ind w:left="287"/>
              <w:rPr>
                <w:rFonts w:ascii="Arial" w:hAnsi="Arial" w:cs="Arial"/>
                <w:sz w:val="20"/>
                <w:szCs w:val="20"/>
              </w:rPr>
            </w:pPr>
            <w:r w:rsidRPr="004C0A05">
              <w:rPr>
                <w:rFonts w:ascii="Arial" w:hAnsi="Arial" w:cs="Arial"/>
                <w:sz w:val="20"/>
                <w:szCs w:val="20"/>
              </w:rPr>
              <w:t>Following recent feedback from industry members, the Department would like to re-emphasise the goals and objectives of proactive.</w:t>
            </w:r>
          </w:p>
          <w:p w:rsidR="00542C5F" w:rsidRPr="003F065D" w:rsidRDefault="00542C5F" w:rsidP="00E10F5D">
            <w:pPr>
              <w:rPr>
                <w:rFonts w:ascii="Arial" w:hAnsi="Arial" w:cs="Arial"/>
                <w:sz w:val="20"/>
                <w:szCs w:val="20"/>
              </w:rPr>
            </w:pPr>
          </w:p>
        </w:tc>
      </w:tr>
    </w:tbl>
    <w:p w:rsidR="00647FDD" w:rsidRDefault="00647FDD"/>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B165DC" w:rsidTr="00B165DC">
        <w:tc>
          <w:tcPr>
            <w:tcW w:w="1361"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B165DC" w:rsidRPr="0025137B" w:rsidRDefault="00B165DC" w:rsidP="00B165DC">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CONTENT SUMMARY</w:t>
            </w:r>
          </w:p>
        </w:tc>
      </w:tr>
      <w:tr w:rsidR="00072350" w:rsidTr="00B165DC">
        <w:tc>
          <w:tcPr>
            <w:tcW w:w="1361" w:type="dxa"/>
          </w:tcPr>
          <w:p w:rsidR="00C56627" w:rsidRPr="0025137B" w:rsidRDefault="00C56627" w:rsidP="00AD7E16">
            <w:pPr>
              <w:spacing w:before="120" w:after="120"/>
              <w:jc w:val="both"/>
            </w:pPr>
            <w:r>
              <w:rPr>
                <w:b/>
                <w:bCs/>
              </w:rPr>
              <w:t>September</w:t>
            </w:r>
            <w:r w:rsidRPr="0025137B">
              <w:rPr>
                <w:b/>
                <w:bCs/>
              </w:rPr>
              <w:t xml:space="preserve"> 2013</w:t>
            </w:r>
          </w:p>
          <w:p w:rsidR="00072350" w:rsidRDefault="00C56627" w:rsidP="00AD7E16">
            <w:pPr>
              <w:spacing w:before="120"/>
              <w:jc w:val="both"/>
              <w:rPr>
                <w:b/>
                <w:bCs/>
              </w:rPr>
            </w:pPr>
            <w:r>
              <w:rPr>
                <w:b/>
                <w:bCs/>
              </w:rPr>
              <w:t>No. 7</w:t>
            </w:r>
          </w:p>
          <w:p w:rsidR="00C56627" w:rsidRDefault="00C56627" w:rsidP="00AD7E16">
            <w:pPr>
              <w:spacing w:before="120"/>
              <w:jc w:val="both"/>
            </w:pPr>
          </w:p>
        </w:tc>
        <w:tc>
          <w:tcPr>
            <w:tcW w:w="3792" w:type="dxa"/>
          </w:tcPr>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Tenanted Residential Properties</w:t>
            </w:r>
          </w:p>
          <w:p w:rsidR="00E10F5D" w:rsidRPr="0095306C" w:rsidRDefault="00E10F5D" w:rsidP="00AD7E16">
            <w:pPr>
              <w:pStyle w:val="ListParagraph"/>
              <w:tabs>
                <w:tab w:val="right" w:pos="2540"/>
              </w:tabs>
              <w:spacing w:before="120" w:after="120"/>
              <w:ind w:left="381" w:right="-16"/>
              <w:jc w:val="both"/>
              <w:rPr>
                <w:rFonts w:cstheme="minorHAnsi"/>
                <w:b/>
              </w:rPr>
            </w:pPr>
          </w:p>
          <w:p w:rsidR="00C56627" w:rsidRDefault="00E10F5D" w:rsidP="009F7E68">
            <w:pPr>
              <w:pStyle w:val="ListParagraph"/>
              <w:numPr>
                <w:ilvl w:val="0"/>
                <w:numId w:val="3"/>
              </w:numPr>
              <w:tabs>
                <w:tab w:val="right" w:pos="2540"/>
              </w:tabs>
              <w:spacing w:before="120" w:after="120"/>
              <w:ind w:left="381" w:right="-16"/>
              <w:jc w:val="both"/>
              <w:rPr>
                <w:rFonts w:cstheme="minorHAnsi"/>
                <w:b/>
              </w:rPr>
            </w:pPr>
            <w:r>
              <w:rPr>
                <w:rFonts w:cstheme="minorHAnsi"/>
                <w:b/>
              </w:rPr>
              <w:t>Important char</w:t>
            </w:r>
            <w:r w:rsidR="00C56627" w:rsidRPr="0095306C">
              <w:rPr>
                <w:rFonts w:cstheme="minorHAnsi"/>
                <w:b/>
              </w:rPr>
              <w:t>ges to water billing from 1 July 2013</w:t>
            </w:r>
          </w:p>
          <w:p w:rsidR="00E10F5D" w:rsidRPr="0095306C" w:rsidRDefault="00E10F5D" w:rsidP="00AD7E16">
            <w:pPr>
              <w:pStyle w:val="ListParagraph"/>
              <w:tabs>
                <w:tab w:val="right" w:pos="2540"/>
              </w:tabs>
              <w:spacing w:before="120" w:after="120"/>
              <w:ind w:left="381" w:right="-16"/>
              <w:jc w:val="both"/>
              <w:rPr>
                <w:rFonts w:cstheme="minorHAnsi"/>
                <w:b/>
              </w:rPr>
            </w:pPr>
          </w:p>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Water consumption and tenanted properties</w:t>
            </w:r>
          </w:p>
          <w:p w:rsidR="00E10F5D" w:rsidRPr="00E10F5D" w:rsidRDefault="00E10F5D" w:rsidP="00AD7E16">
            <w:pPr>
              <w:pStyle w:val="ListParagraph"/>
              <w:spacing w:before="120"/>
              <w:rPr>
                <w:rFonts w:cstheme="minorHAnsi"/>
                <w:b/>
              </w:rPr>
            </w:pPr>
          </w:p>
          <w:p w:rsidR="00AF7FE2"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Recommending clients seek legal advice</w:t>
            </w:r>
          </w:p>
          <w:p w:rsidR="00AF7FE2" w:rsidRPr="00AF7FE2" w:rsidRDefault="00AF7FE2" w:rsidP="00AD7E16">
            <w:pPr>
              <w:pStyle w:val="ListParagraph"/>
              <w:spacing w:before="120"/>
              <w:rPr>
                <w:rFonts w:cstheme="minorHAnsi"/>
                <w:b/>
              </w:rPr>
            </w:pPr>
          </w:p>
          <w:p w:rsidR="00AF7FE2"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Ballajura settlement agent fined $8,000 over misuse of funds</w:t>
            </w:r>
          </w:p>
          <w:p w:rsidR="00AF7FE2" w:rsidRPr="00AF7FE2" w:rsidRDefault="00AF7FE2" w:rsidP="00AD7E16">
            <w:pPr>
              <w:pStyle w:val="ListParagraph"/>
              <w:spacing w:before="120"/>
              <w:rPr>
                <w:rFonts w:cstheme="minorHAnsi"/>
                <w:b/>
              </w:rPr>
            </w:pPr>
          </w:p>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The small business ACL checklist</w:t>
            </w:r>
          </w:p>
          <w:p w:rsidR="00C56627" w:rsidRPr="00C56627" w:rsidRDefault="00C56627" w:rsidP="00AD7E16">
            <w:pPr>
              <w:pStyle w:val="ListParagraph"/>
              <w:tabs>
                <w:tab w:val="right" w:pos="2540"/>
              </w:tabs>
              <w:spacing w:before="120" w:after="120"/>
              <w:ind w:left="381" w:right="-16"/>
              <w:jc w:val="both"/>
              <w:rPr>
                <w:rFonts w:cstheme="minorHAnsi"/>
                <w:b/>
              </w:rPr>
            </w:pPr>
          </w:p>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Settlement agent fined for misleading her clients</w:t>
            </w:r>
          </w:p>
          <w:p w:rsidR="00AF7FE2" w:rsidRPr="00AF7FE2" w:rsidRDefault="00AF7FE2" w:rsidP="00AD7E16">
            <w:pPr>
              <w:pStyle w:val="ListParagraph"/>
              <w:spacing w:before="120"/>
              <w:rPr>
                <w:rFonts w:cstheme="minorHAnsi"/>
                <w:b/>
              </w:rPr>
            </w:pPr>
          </w:p>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Unfair contract terms</w:t>
            </w:r>
          </w:p>
          <w:p w:rsidR="00AF7FE2" w:rsidRPr="00AF7FE2" w:rsidRDefault="00AF7FE2" w:rsidP="00AD7E16">
            <w:pPr>
              <w:pStyle w:val="ListParagraph"/>
              <w:spacing w:before="120"/>
              <w:rPr>
                <w:rFonts w:cstheme="minorHAnsi"/>
                <w:b/>
              </w:rPr>
            </w:pPr>
          </w:p>
          <w:p w:rsidR="00C56627" w:rsidRDefault="00C56627" w:rsidP="009F7E68">
            <w:pPr>
              <w:pStyle w:val="ListParagraph"/>
              <w:numPr>
                <w:ilvl w:val="0"/>
                <w:numId w:val="3"/>
              </w:numPr>
              <w:tabs>
                <w:tab w:val="right" w:pos="2540"/>
              </w:tabs>
              <w:spacing w:before="120" w:after="120"/>
              <w:ind w:left="381" w:right="-16"/>
              <w:jc w:val="both"/>
              <w:rPr>
                <w:rFonts w:cstheme="minorHAnsi"/>
                <w:b/>
              </w:rPr>
            </w:pPr>
            <w:r w:rsidRPr="0095306C">
              <w:rPr>
                <w:rFonts w:cstheme="minorHAnsi"/>
                <w:b/>
              </w:rPr>
              <w:t>Supreme Court decision relating to memorials on titles</w:t>
            </w:r>
          </w:p>
          <w:p w:rsidR="00072350" w:rsidRPr="00B37EF0" w:rsidRDefault="00072350" w:rsidP="00AD7E16">
            <w:pPr>
              <w:tabs>
                <w:tab w:val="right" w:pos="2540"/>
              </w:tabs>
              <w:spacing w:before="120" w:after="60"/>
              <w:ind w:right="-16"/>
              <w:jc w:val="both"/>
              <w:rPr>
                <w:rFonts w:cstheme="minorHAnsi"/>
                <w:b/>
              </w:rPr>
            </w:pPr>
          </w:p>
        </w:tc>
        <w:tc>
          <w:tcPr>
            <w:tcW w:w="9824" w:type="dxa"/>
          </w:tcPr>
          <w:p w:rsidR="00C56627" w:rsidRPr="00745A89" w:rsidRDefault="00B37EF0"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E</w:t>
            </w:r>
            <w:r w:rsidR="00C56627" w:rsidRPr="00745A89">
              <w:rPr>
                <w:rFonts w:ascii="Arial" w:hAnsi="Arial" w:cs="Arial"/>
                <w:sz w:val="20"/>
                <w:szCs w:val="20"/>
              </w:rPr>
              <w:t>xtra attention</w:t>
            </w:r>
            <w:r w:rsidRPr="00745A89">
              <w:rPr>
                <w:rFonts w:ascii="Arial" w:hAnsi="Arial" w:cs="Arial"/>
                <w:sz w:val="20"/>
                <w:szCs w:val="20"/>
              </w:rPr>
              <w:t xml:space="preserve"> required for settlement of tenanted residential properties </w:t>
            </w:r>
            <w:r w:rsidR="00C56627" w:rsidRPr="00745A89">
              <w:rPr>
                <w:rFonts w:ascii="Arial" w:hAnsi="Arial" w:cs="Arial"/>
                <w:sz w:val="20"/>
                <w:szCs w:val="20"/>
              </w:rPr>
              <w:t xml:space="preserve">to ensure </w:t>
            </w:r>
            <w:r w:rsidRPr="00745A89">
              <w:rPr>
                <w:rFonts w:ascii="Arial" w:hAnsi="Arial" w:cs="Arial"/>
                <w:sz w:val="20"/>
                <w:szCs w:val="20"/>
              </w:rPr>
              <w:t>c</w:t>
            </w:r>
            <w:r w:rsidR="00C56627" w:rsidRPr="00745A89">
              <w:rPr>
                <w:rFonts w:ascii="Arial" w:hAnsi="Arial" w:cs="Arial"/>
                <w:sz w:val="20"/>
                <w:szCs w:val="20"/>
              </w:rPr>
              <w:t>orrect information is delivered to the bu</w:t>
            </w:r>
            <w:r w:rsidR="005711B3" w:rsidRPr="00745A89">
              <w:rPr>
                <w:rFonts w:ascii="Arial" w:hAnsi="Arial" w:cs="Arial"/>
                <w:sz w:val="20"/>
                <w:szCs w:val="20"/>
              </w:rPr>
              <w:t xml:space="preserve">yer prior to settlement. Once </w:t>
            </w:r>
            <w:r w:rsidRPr="00745A89">
              <w:rPr>
                <w:rFonts w:ascii="Arial" w:hAnsi="Arial" w:cs="Arial"/>
                <w:sz w:val="20"/>
                <w:szCs w:val="20"/>
              </w:rPr>
              <w:t>the buyer’s agent</w:t>
            </w:r>
            <w:r w:rsidR="00C56627" w:rsidRPr="00745A89">
              <w:rPr>
                <w:rFonts w:ascii="Arial" w:hAnsi="Arial" w:cs="Arial"/>
                <w:sz w:val="20"/>
                <w:szCs w:val="20"/>
              </w:rPr>
              <w:t xml:space="preserve"> becomes aware a residential property is tenanted, they should contact the seller</w:t>
            </w:r>
            <w:r w:rsidRPr="00745A89">
              <w:rPr>
                <w:rFonts w:ascii="Arial" w:hAnsi="Arial" w:cs="Arial"/>
                <w:sz w:val="20"/>
                <w:szCs w:val="20"/>
              </w:rPr>
              <w:t>/</w:t>
            </w:r>
            <w:r w:rsidR="00C56627" w:rsidRPr="00745A89">
              <w:rPr>
                <w:rFonts w:ascii="Arial" w:hAnsi="Arial" w:cs="Arial"/>
                <w:sz w:val="20"/>
                <w:szCs w:val="20"/>
              </w:rPr>
              <w:t>managing agent to obtain information about the tenancy. Acquiring this material is a key part of a</w:t>
            </w:r>
            <w:r w:rsidR="00DC1A90" w:rsidRPr="00745A89">
              <w:rPr>
                <w:rFonts w:ascii="Arial" w:hAnsi="Arial" w:cs="Arial"/>
                <w:sz w:val="20"/>
                <w:szCs w:val="20"/>
              </w:rPr>
              <w:t>n</w:t>
            </w:r>
            <w:r w:rsidR="00C56627" w:rsidRPr="00745A89">
              <w:rPr>
                <w:rFonts w:ascii="Arial" w:hAnsi="Arial" w:cs="Arial"/>
                <w:sz w:val="20"/>
                <w:szCs w:val="20"/>
              </w:rPr>
              <w:t xml:space="preserve"> agent</w:t>
            </w:r>
            <w:r w:rsidRPr="00745A89">
              <w:rPr>
                <w:rFonts w:ascii="Arial" w:hAnsi="Arial" w:cs="Arial"/>
                <w:sz w:val="20"/>
                <w:szCs w:val="20"/>
              </w:rPr>
              <w:t xml:space="preserve"> </w:t>
            </w:r>
            <w:r w:rsidR="00C56627" w:rsidRPr="00745A89">
              <w:rPr>
                <w:rFonts w:ascii="Arial" w:hAnsi="Arial" w:cs="Arial"/>
                <w:sz w:val="20"/>
                <w:szCs w:val="20"/>
              </w:rPr>
              <w:t>acting in their client’s best interests.</w:t>
            </w:r>
          </w:p>
          <w:p w:rsidR="00AF7FE2" w:rsidRPr="00745A89" w:rsidRDefault="00AF7FE2" w:rsidP="00AD7E16">
            <w:pPr>
              <w:pStyle w:val="ListParagraph"/>
              <w:spacing w:before="120" w:after="120"/>
              <w:ind w:left="360" w:hanging="360"/>
              <w:jc w:val="both"/>
              <w:rPr>
                <w:rFonts w:ascii="Arial" w:hAnsi="Arial" w:cs="Arial"/>
                <w:sz w:val="20"/>
                <w:szCs w:val="20"/>
              </w:rPr>
            </w:pPr>
          </w:p>
          <w:p w:rsidR="00C56627" w:rsidRPr="00745A89" w:rsidRDefault="00C56627"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From July 2013, the Water Corporation implemented combined billing for water use and service charges on a two-monthly basis</w:t>
            </w:r>
            <w:r w:rsidR="00B37EF0" w:rsidRPr="00745A89">
              <w:rPr>
                <w:rFonts w:ascii="Arial" w:hAnsi="Arial" w:cs="Arial"/>
                <w:sz w:val="20"/>
                <w:szCs w:val="20"/>
              </w:rPr>
              <w:t xml:space="preserve"> </w:t>
            </w:r>
            <w:r w:rsidRPr="00745A89">
              <w:rPr>
                <w:rFonts w:ascii="Arial" w:hAnsi="Arial" w:cs="Arial"/>
                <w:sz w:val="20"/>
                <w:szCs w:val="20"/>
              </w:rPr>
              <w:t xml:space="preserve">. This </w:t>
            </w:r>
            <w:r w:rsidR="00B37EF0" w:rsidRPr="00745A89">
              <w:rPr>
                <w:rFonts w:ascii="Arial" w:hAnsi="Arial" w:cs="Arial"/>
                <w:sz w:val="20"/>
                <w:szCs w:val="20"/>
              </w:rPr>
              <w:t xml:space="preserve">replaces </w:t>
            </w:r>
            <w:r w:rsidRPr="00745A89">
              <w:rPr>
                <w:rFonts w:ascii="Arial" w:hAnsi="Arial" w:cs="Arial"/>
                <w:sz w:val="20"/>
                <w:szCs w:val="20"/>
              </w:rPr>
              <w:t>previous process of billing service charges for a full year in advance</w:t>
            </w:r>
            <w:r w:rsidR="00B37EF0" w:rsidRPr="00745A89">
              <w:rPr>
                <w:rFonts w:ascii="Arial" w:hAnsi="Arial" w:cs="Arial"/>
                <w:sz w:val="20"/>
                <w:szCs w:val="20"/>
              </w:rPr>
              <w:t>,</w:t>
            </w:r>
            <w:r w:rsidRPr="00745A89">
              <w:rPr>
                <w:rFonts w:ascii="Arial" w:hAnsi="Arial" w:cs="Arial"/>
                <w:sz w:val="20"/>
                <w:szCs w:val="20"/>
              </w:rPr>
              <w:t xml:space="preserve"> and water use twice per year in the metropolitan area and three times per year in regional areas.</w:t>
            </w:r>
          </w:p>
          <w:p w:rsidR="00AF7FE2" w:rsidRPr="00745A89" w:rsidRDefault="00AF7FE2" w:rsidP="00AD7E16">
            <w:pPr>
              <w:pStyle w:val="ListParagraph"/>
              <w:spacing w:before="120" w:after="120"/>
              <w:ind w:left="360" w:hanging="360"/>
              <w:jc w:val="both"/>
              <w:rPr>
                <w:rFonts w:ascii="Arial" w:hAnsi="Arial" w:cs="Arial"/>
                <w:sz w:val="20"/>
                <w:szCs w:val="20"/>
              </w:rPr>
            </w:pPr>
          </w:p>
          <w:p w:rsidR="00C56627" w:rsidRPr="00745A89" w:rsidRDefault="005711B3"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A</w:t>
            </w:r>
            <w:r w:rsidR="00C56627" w:rsidRPr="00745A89">
              <w:rPr>
                <w:rFonts w:ascii="Arial" w:hAnsi="Arial" w:cs="Arial"/>
                <w:sz w:val="20"/>
                <w:szCs w:val="20"/>
              </w:rPr>
              <w:t>gents reminded that sellers are responsible for the payment of all outgoings up to the date of settlement, even if a property is tenanted.</w:t>
            </w:r>
          </w:p>
          <w:p w:rsidR="00AF7FE2" w:rsidRPr="00745A89" w:rsidRDefault="00AF7FE2" w:rsidP="00AD7E16">
            <w:pPr>
              <w:pStyle w:val="ListParagraph"/>
              <w:spacing w:before="120" w:after="120"/>
              <w:ind w:left="360" w:hanging="360"/>
              <w:jc w:val="both"/>
              <w:rPr>
                <w:rFonts w:ascii="Arial" w:hAnsi="Arial" w:cs="Arial"/>
                <w:sz w:val="20"/>
                <w:szCs w:val="20"/>
              </w:rPr>
            </w:pPr>
          </w:p>
          <w:p w:rsidR="00C56627" w:rsidRPr="00745A89" w:rsidRDefault="005711B3"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A</w:t>
            </w:r>
            <w:r w:rsidR="00C56627" w:rsidRPr="00745A89">
              <w:rPr>
                <w:rFonts w:ascii="Arial" w:hAnsi="Arial" w:cs="Arial"/>
                <w:sz w:val="20"/>
                <w:szCs w:val="20"/>
              </w:rPr>
              <w:t>gents</w:t>
            </w:r>
            <w:r w:rsidRPr="00745A89">
              <w:rPr>
                <w:rFonts w:ascii="Arial" w:hAnsi="Arial" w:cs="Arial"/>
                <w:sz w:val="20"/>
                <w:szCs w:val="20"/>
              </w:rPr>
              <w:t xml:space="preserve"> urged</w:t>
            </w:r>
            <w:r w:rsidR="00C56627" w:rsidRPr="00745A89">
              <w:rPr>
                <w:rFonts w:ascii="Arial" w:hAnsi="Arial" w:cs="Arial"/>
                <w:sz w:val="20"/>
                <w:szCs w:val="20"/>
              </w:rPr>
              <w:t xml:space="preserve"> to exercise caution in situations involving uncertainty. </w:t>
            </w:r>
            <w:r w:rsidR="00B37EF0" w:rsidRPr="00745A89">
              <w:rPr>
                <w:rFonts w:ascii="Arial" w:hAnsi="Arial" w:cs="Arial"/>
                <w:sz w:val="20"/>
                <w:szCs w:val="20"/>
              </w:rPr>
              <w:t>In</w:t>
            </w:r>
            <w:r w:rsidR="00C56627" w:rsidRPr="00745A89">
              <w:rPr>
                <w:rFonts w:ascii="Arial" w:hAnsi="Arial" w:cs="Arial"/>
                <w:sz w:val="20"/>
                <w:szCs w:val="20"/>
              </w:rPr>
              <w:t>cludes advising clients to seek legal advice when prudent to do so.</w:t>
            </w:r>
          </w:p>
          <w:p w:rsidR="00AF7FE2" w:rsidRPr="00745A89" w:rsidRDefault="00AF7FE2" w:rsidP="00AD7E16">
            <w:pPr>
              <w:pStyle w:val="ListParagraph"/>
              <w:spacing w:before="120" w:after="120"/>
              <w:ind w:left="360" w:hanging="360"/>
              <w:jc w:val="both"/>
              <w:rPr>
                <w:rFonts w:ascii="Arial" w:hAnsi="Arial" w:cs="Arial"/>
                <w:sz w:val="20"/>
                <w:szCs w:val="20"/>
              </w:rPr>
            </w:pPr>
          </w:p>
          <w:p w:rsidR="00C56627" w:rsidRPr="00745A89" w:rsidRDefault="00C56627"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 xml:space="preserve">Ballajura settlement agent, Natalie Jane Briggs t/as Frontline Settlements surrendered her licence, and has been fined $8,000 </w:t>
            </w:r>
            <w:r w:rsidR="005711B3" w:rsidRPr="00745A89">
              <w:rPr>
                <w:rFonts w:ascii="Arial" w:hAnsi="Arial" w:cs="Arial"/>
                <w:sz w:val="20"/>
                <w:szCs w:val="20"/>
              </w:rPr>
              <w:t xml:space="preserve">by the Midland Magistrates Court. She </w:t>
            </w:r>
            <w:r w:rsidRPr="00745A89">
              <w:rPr>
                <w:rFonts w:ascii="Arial" w:hAnsi="Arial" w:cs="Arial"/>
                <w:sz w:val="20"/>
                <w:szCs w:val="20"/>
              </w:rPr>
              <w:t>plead</w:t>
            </w:r>
            <w:r w:rsidR="005711B3" w:rsidRPr="00745A89">
              <w:rPr>
                <w:rFonts w:ascii="Arial" w:hAnsi="Arial" w:cs="Arial"/>
                <w:sz w:val="20"/>
                <w:szCs w:val="20"/>
              </w:rPr>
              <w:t>ed</w:t>
            </w:r>
            <w:r w:rsidRPr="00745A89">
              <w:rPr>
                <w:rFonts w:ascii="Arial" w:hAnsi="Arial" w:cs="Arial"/>
                <w:sz w:val="20"/>
                <w:szCs w:val="20"/>
              </w:rPr>
              <w:t xml:space="preserve"> guilty on 20/6/2013 to 13 charges related to inability to finalise the settlement of four property transactions due to the agent’s misuse of trust money. </w:t>
            </w:r>
          </w:p>
          <w:p w:rsidR="00AF7FE2" w:rsidRPr="00745A89" w:rsidRDefault="00AF7FE2" w:rsidP="00AD7E16">
            <w:pPr>
              <w:pStyle w:val="ListParagraph"/>
              <w:spacing w:before="120" w:after="120"/>
              <w:ind w:left="360" w:hanging="360"/>
              <w:jc w:val="both"/>
              <w:rPr>
                <w:rFonts w:ascii="Arial" w:hAnsi="Arial" w:cs="Arial"/>
                <w:sz w:val="20"/>
                <w:szCs w:val="20"/>
              </w:rPr>
            </w:pPr>
          </w:p>
          <w:p w:rsidR="00416AD9" w:rsidRPr="00745A89" w:rsidRDefault="00C56627"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 xml:space="preserve">ACL came into effect on 1/1/2011. </w:t>
            </w:r>
            <w:r w:rsidR="005711B3" w:rsidRPr="00745A89">
              <w:rPr>
                <w:rFonts w:ascii="Arial" w:hAnsi="Arial" w:cs="Arial"/>
                <w:sz w:val="20"/>
                <w:szCs w:val="20"/>
              </w:rPr>
              <w:t xml:space="preserve"> </w:t>
            </w:r>
            <w:r w:rsidRPr="00745A89">
              <w:rPr>
                <w:rFonts w:ascii="Arial" w:hAnsi="Arial" w:cs="Arial"/>
                <w:sz w:val="20"/>
                <w:szCs w:val="20"/>
              </w:rPr>
              <w:t xml:space="preserve">The small business ACL checklist has been designed to help </w:t>
            </w:r>
            <w:r w:rsidR="00B37EF0" w:rsidRPr="00745A89">
              <w:rPr>
                <w:rFonts w:ascii="Arial" w:hAnsi="Arial" w:cs="Arial"/>
                <w:sz w:val="20"/>
                <w:szCs w:val="20"/>
              </w:rPr>
              <w:t xml:space="preserve">them </w:t>
            </w:r>
            <w:r w:rsidRPr="00745A89">
              <w:rPr>
                <w:rFonts w:ascii="Arial" w:hAnsi="Arial" w:cs="Arial"/>
                <w:sz w:val="20"/>
                <w:szCs w:val="20"/>
              </w:rPr>
              <w:t>self-assess their operations and identify which of their activities are regulated under the ACL.</w:t>
            </w:r>
          </w:p>
          <w:p w:rsidR="00416AD9" w:rsidRPr="00745A89" w:rsidRDefault="00416AD9" w:rsidP="00AD7E16">
            <w:pPr>
              <w:pStyle w:val="ListParagraph"/>
              <w:spacing w:before="120"/>
              <w:rPr>
                <w:rFonts w:ascii="Arial" w:hAnsi="Arial" w:cs="Arial"/>
                <w:sz w:val="20"/>
                <w:szCs w:val="20"/>
              </w:rPr>
            </w:pPr>
          </w:p>
          <w:p w:rsidR="00416AD9" w:rsidRPr="00745A89" w:rsidRDefault="00416AD9"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 xml:space="preserve">A Karrinyup settlement agent who represented she was a licensed settlement agent after her triennial certificate had lapsed, has been fined $4,000 by the Perth Magistrates Court. </w:t>
            </w:r>
            <w:r w:rsidRPr="00745A89">
              <w:rPr>
                <w:rFonts w:ascii="Arial" w:hAnsi="Arial" w:cs="Arial"/>
                <w:color w:val="000000"/>
                <w:sz w:val="20"/>
                <w:szCs w:val="20"/>
              </w:rPr>
              <w:t xml:space="preserve"> </w:t>
            </w:r>
            <w:r w:rsidRPr="00745A89">
              <w:rPr>
                <w:rFonts w:ascii="Arial" w:hAnsi="Arial" w:cs="Arial"/>
                <w:sz w:val="20"/>
                <w:szCs w:val="20"/>
              </w:rPr>
              <w:t>Michelle Louise Owen, trading as Swan River Conveyancing, pleaded guilty on 5 April 2013 to eleven charges relating to misrepresentations made during the settlement of three properties</w:t>
            </w:r>
            <w:r w:rsidR="00C06515">
              <w:rPr>
                <w:rFonts w:ascii="Arial" w:hAnsi="Arial" w:cs="Arial"/>
                <w:sz w:val="20"/>
                <w:szCs w:val="20"/>
              </w:rPr>
              <w:t xml:space="preserve">. </w:t>
            </w:r>
            <w:r w:rsidRPr="00745A89">
              <w:rPr>
                <w:rFonts w:ascii="Arial" w:hAnsi="Arial" w:cs="Arial"/>
                <w:sz w:val="20"/>
                <w:szCs w:val="20"/>
              </w:rPr>
              <w:t xml:space="preserve"> </w:t>
            </w:r>
            <w:r w:rsidR="00C06515">
              <w:rPr>
                <w:rFonts w:ascii="Arial" w:hAnsi="Arial" w:cs="Arial"/>
                <w:sz w:val="20"/>
                <w:szCs w:val="20"/>
              </w:rPr>
              <w:t xml:space="preserve"> C</w:t>
            </w:r>
            <w:r w:rsidRPr="00745A89">
              <w:rPr>
                <w:rFonts w:ascii="Arial" w:hAnsi="Arial" w:cs="Arial"/>
                <w:sz w:val="20"/>
                <w:szCs w:val="20"/>
              </w:rPr>
              <w:t>ourt costs of $275.</w:t>
            </w:r>
          </w:p>
          <w:p w:rsidR="00416AD9" w:rsidRPr="00745A89" w:rsidRDefault="00416AD9" w:rsidP="00AD7E16">
            <w:pPr>
              <w:pStyle w:val="ListParagraph"/>
              <w:spacing w:before="120"/>
              <w:rPr>
                <w:rFonts w:ascii="Arial" w:hAnsi="Arial" w:cs="Arial"/>
                <w:sz w:val="20"/>
                <w:szCs w:val="20"/>
              </w:rPr>
            </w:pPr>
          </w:p>
          <w:p w:rsidR="00416AD9" w:rsidRPr="00745A89" w:rsidRDefault="00416AD9"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A</w:t>
            </w:r>
            <w:r w:rsidR="00C06515">
              <w:rPr>
                <w:rFonts w:ascii="Arial" w:hAnsi="Arial" w:cs="Arial"/>
                <w:sz w:val="20"/>
                <w:szCs w:val="20"/>
              </w:rPr>
              <w:t>CCC</w:t>
            </w:r>
            <w:r w:rsidR="00751F1A">
              <w:rPr>
                <w:rFonts w:ascii="Arial" w:hAnsi="Arial" w:cs="Arial"/>
                <w:sz w:val="20"/>
                <w:szCs w:val="20"/>
              </w:rPr>
              <w:t xml:space="preserve"> </w:t>
            </w:r>
            <w:r w:rsidRPr="00745A89">
              <w:rPr>
                <w:rFonts w:ascii="Arial" w:hAnsi="Arial" w:cs="Arial"/>
                <w:sz w:val="20"/>
                <w:szCs w:val="20"/>
              </w:rPr>
              <w:t xml:space="preserve">recently conducted a review of standard form consumer contracts in order to identify unfair contract terms and related practices. </w:t>
            </w:r>
            <w:r w:rsidR="00C06515">
              <w:rPr>
                <w:rFonts w:ascii="Arial" w:hAnsi="Arial" w:cs="Arial"/>
                <w:sz w:val="20"/>
                <w:szCs w:val="20"/>
              </w:rPr>
              <w:t>ACL</w:t>
            </w:r>
            <w:r w:rsidRPr="00745A89">
              <w:rPr>
                <w:rFonts w:ascii="Arial" w:hAnsi="Arial" w:cs="Arial"/>
                <w:sz w:val="20"/>
                <w:szCs w:val="20"/>
              </w:rPr>
              <w:t xml:space="preserve"> incorporates various provisions targeting specific consumer issues, including provisions which render unfair terms void in standard form consumer contracts. </w:t>
            </w:r>
            <w:r w:rsidRPr="00745A89">
              <w:rPr>
                <w:rFonts w:ascii="Arial" w:hAnsi="Arial" w:cs="Arial"/>
                <w:color w:val="000000"/>
                <w:sz w:val="20"/>
                <w:szCs w:val="20"/>
              </w:rPr>
              <w:t xml:space="preserve"> </w:t>
            </w:r>
          </w:p>
          <w:p w:rsidR="00416AD9" w:rsidRPr="00745A89" w:rsidRDefault="00416AD9" w:rsidP="00AD7E16">
            <w:pPr>
              <w:pStyle w:val="ListParagraph"/>
              <w:spacing w:before="120"/>
              <w:rPr>
                <w:rFonts w:ascii="Arial" w:hAnsi="Arial" w:cs="Arial"/>
                <w:sz w:val="20"/>
                <w:szCs w:val="20"/>
              </w:rPr>
            </w:pPr>
          </w:p>
          <w:p w:rsidR="00416AD9" w:rsidRPr="00745A89" w:rsidRDefault="00416AD9" w:rsidP="009F7E68">
            <w:pPr>
              <w:pStyle w:val="ListParagraph"/>
              <w:numPr>
                <w:ilvl w:val="0"/>
                <w:numId w:val="4"/>
              </w:numPr>
              <w:spacing w:before="120" w:after="120"/>
              <w:jc w:val="both"/>
              <w:rPr>
                <w:rFonts w:ascii="Arial" w:hAnsi="Arial" w:cs="Arial"/>
                <w:sz w:val="20"/>
                <w:szCs w:val="20"/>
              </w:rPr>
            </w:pPr>
            <w:r w:rsidRPr="00745A89">
              <w:rPr>
                <w:rFonts w:ascii="Arial" w:hAnsi="Arial" w:cs="Arial"/>
                <w:sz w:val="20"/>
                <w:szCs w:val="20"/>
              </w:rPr>
              <w:t>Supreme Court ruling 31 May 2013 on retirement village memorials recorded against land. The decision held that the owner of land</w:t>
            </w:r>
            <w:r w:rsidR="000F050A">
              <w:rPr>
                <w:rFonts w:ascii="Arial" w:hAnsi="Arial" w:cs="Arial"/>
                <w:sz w:val="20"/>
                <w:szCs w:val="20"/>
              </w:rPr>
              <w:t>,</w:t>
            </w:r>
            <w:r w:rsidRPr="00745A89">
              <w:rPr>
                <w:rFonts w:ascii="Arial" w:hAnsi="Arial" w:cs="Arial"/>
                <w:sz w:val="20"/>
                <w:szCs w:val="20"/>
              </w:rPr>
              <w:t xml:space="preserve"> upon which a retirement village was situated</w:t>
            </w:r>
            <w:r w:rsidR="000F050A">
              <w:rPr>
                <w:rFonts w:ascii="Arial" w:hAnsi="Arial" w:cs="Arial"/>
                <w:sz w:val="20"/>
                <w:szCs w:val="20"/>
              </w:rPr>
              <w:t>,</w:t>
            </w:r>
            <w:r w:rsidRPr="00745A89">
              <w:rPr>
                <w:rFonts w:ascii="Arial" w:hAnsi="Arial" w:cs="Arial"/>
                <w:sz w:val="20"/>
                <w:szCs w:val="20"/>
              </w:rPr>
              <w:t xml:space="preserve"> could not have the ‘retirement village scheme’ altered and the memorial lifted from a portion of the land so as to permit the use of the other portion free from the statutory charge over the land in favour of residents. (Reference: </w:t>
            </w:r>
            <w:r w:rsidRPr="00745A89">
              <w:rPr>
                <w:rFonts w:ascii="Arial" w:hAnsi="Arial" w:cs="Arial"/>
                <w:i/>
                <w:iCs/>
                <w:sz w:val="20"/>
                <w:szCs w:val="20"/>
              </w:rPr>
              <w:t xml:space="preserve">Retirement Care Australia (Hollywood) Pty Ltd v Commissioner for Consumer Protection and Ors [2013] WASC </w:t>
            </w:r>
            <w:r w:rsidRPr="00745A89">
              <w:rPr>
                <w:rFonts w:ascii="Arial" w:hAnsi="Arial" w:cs="Arial"/>
                <w:i/>
                <w:iCs/>
                <w:sz w:val="20"/>
                <w:szCs w:val="20"/>
              </w:rPr>
              <w:lastRenderedPageBreak/>
              <w:t>219</w:t>
            </w:r>
            <w:r w:rsidRPr="00745A89">
              <w:rPr>
                <w:rFonts w:ascii="Arial" w:hAnsi="Arial" w:cs="Arial"/>
                <w:sz w:val="20"/>
                <w:szCs w:val="20"/>
              </w:rPr>
              <w:t xml:space="preserve">). While the Court’s ruling was complex and technical, in short, the </w:t>
            </w:r>
            <w:r w:rsidRPr="00745A89">
              <w:rPr>
                <w:rFonts w:ascii="Arial" w:hAnsi="Arial" w:cs="Arial"/>
                <w:i/>
                <w:iCs/>
                <w:sz w:val="20"/>
                <w:szCs w:val="20"/>
              </w:rPr>
              <w:t xml:space="preserve">Retirement Villages Act (1992) </w:t>
            </w:r>
            <w:r w:rsidRPr="00745A89">
              <w:rPr>
                <w:rFonts w:ascii="Arial" w:hAnsi="Arial" w:cs="Arial"/>
                <w:sz w:val="20"/>
                <w:szCs w:val="20"/>
              </w:rPr>
              <w:t>does not contain any provision which permits the owner of a retirement village to cancel a memorial over a part of the land in order to excise that land from the retirement village. Landgate is the statutory authority.</w:t>
            </w:r>
          </w:p>
          <w:p w:rsidR="00416AD9" w:rsidRPr="00416AD9" w:rsidRDefault="00416AD9" w:rsidP="00AD7E16">
            <w:pPr>
              <w:pStyle w:val="ListParagraph"/>
              <w:spacing w:before="120"/>
            </w:pPr>
          </w:p>
        </w:tc>
      </w:tr>
    </w:tbl>
    <w:p w:rsidR="00B165DC" w:rsidRDefault="00B165DC"/>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B165DC" w:rsidTr="00B165DC">
        <w:tc>
          <w:tcPr>
            <w:tcW w:w="1361"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B165DC" w:rsidRPr="0025137B" w:rsidRDefault="00B165DC" w:rsidP="00B165DC">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B165DC" w:rsidRPr="0025137B" w:rsidRDefault="00B165DC" w:rsidP="00B165DC">
            <w:pPr>
              <w:spacing w:before="60" w:after="60"/>
              <w:rPr>
                <w:b/>
                <w:sz w:val="24"/>
                <w:szCs w:val="24"/>
              </w:rPr>
            </w:pPr>
            <w:r w:rsidRPr="0025137B">
              <w:rPr>
                <w:b/>
                <w:sz w:val="24"/>
                <w:szCs w:val="24"/>
              </w:rPr>
              <w:t>CONTENT SUMMARY</w:t>
            </w:r>
          </w:p>
        </w:tc>
      </w:tr>
      <w:tr w:rsidR="00B165DC" w:rsidTr="00B165DC">
        <w:tc>
          <w:tcPr>
            <w:tcW w:w="1361" w:type="dxa"/>
          </w:tcPr>
          <w:p w:rsidR="00B165DC" w:rsidRPr="0025137B" w:rsidRDefault="00B165DC" w:rsidP="00AD7E16">
            <w:pPr>
              <w:spacing w:before="120" w:after="120"/>
              <w:jc w:val="both"/>
            </w:pPr>
            <w:r>
              <w:rPr>
                <w:b/>
                <w:bCs/>
              </w:rPr>
              <w:t>April</w:t>
            </w:r>
            <w:r w:rsidRPr="0025137B">
              <w:rPr>
                <w:b/>
                <w:bCs/>
              </w:rPr>
              <w:t xml:space="preserve"> 2013</w:t>
            </w:r>
          </w:p>
          <w:p w:rsidR="00B165DC" w:rsidRDefault="00B165DC" w:rsidP="00AD7E16">
            <w:pPr>
              <w:spacing w:before="120" w:after="120"/>
              <w:jc w:val="both"/>
              <w:rPr>
                <w:b/>
                <w:bCs/>
              </w:rPr>
            </w:pPr>
            <w:r>
              <w:rPr>
                <w:b/>
                <w:bCs/>
              </w:rPr>
              <w:t>No. 6</w:t>
            </w:r>
          </w:p>
          <w:p w:rsidR="00B165DC" w:rsidRDefault="00B165DC" w:rsidP="00AD7E16">
            <w:pPr>
              <w:spacing w:before="120" w:after="120"/>
              <w:jc w:val="both"/>
            </w:pPr>
          </w:p>
        </w:tc>
        <w:tc>
          <w:tcPr>
            <w:tcW w:w="3792" w:type="dxa"/>
          </w:tcPr>
          <w:p w:rsidR="00B165DC" w:rsidRPr="00AD7E16" w:rsidRDefault="00B165DC" w:rsidP="009F7E68">
            <w:pPr>
              <w:pStyle w:val="ListParagraph"/>
              <w:numPr>
                <w:ilvl w:val="0"/>
                <w:numId w:val="5"/>
              </w:numPr>
              <w:tabs>
                <w:tab w:val="right" w:pos="2540"/>
              </w:tabs>
              <w:spacing w:before="120" w:after="120"/>
              <w:ind w:left="340" w:right="-16"/>
              <w:jc w:val="both"/>
              <w:rPr>
                <w:rFonts w:cstheme="minorHAnsi"/>
                <w:b/>
                <w:strike/>
              </w:rPr>
            </w:pPr>
            <w:r w:rsidRPr="00AD7E16">
              <w:rPr>
                <w:rFonts w:cstheme="minorHAnsi"/>
                <w:b/>
                <w:strike/>
              </w:rPr>
              <w:t>New Minister for Commerce</w:t>
            </w:r>
          </w:p>
          <w:p w:rsidR="00B165DC" w:rsidRPr="00B165DC" w:rsidRDefault="00B165DC" w:rsidP="00AD7E16">
            <w:pPr>
              <w:pStyle w:val="ListParagraph"/>
              <w:tabs>
                <w:tab w:val="right" w:pos="2540"/>
              </w:tabs>
              <w:spacing w:before="120" w:after="120"/>
              <w:ind w:left="340" w:right="-16"/>
              <w:jc w:val="both"/>
              <w:rPr>
                <w:rFonts w:cstheme="minorHAnsi"/>
                <w:b/>
              </w:rPr>
            </w:pPr>
          </w:p>
          <w:p w:rsidR="00B165DC" w:rsidRDefault="00B165DC" w:rsidP="009F7E68">
            <w:pPr>
              <w:pStyle w:val="ListParagraph"/>
              <w:numPr>
                <w:ilvl w:val="0"/>
                <w:numId w:val="5"/>
              </w:numPr>
              <w:tabs>
                <w:tab w:val="right" w:pos="2540"/>
              </w:tabs>
              <w:spacing w:before="120" w:after="120"/>
              <w:ind w:left="340" w:right="-16"/>
              <w:jc w:val="both"/>
              <w:rPr>
                <w:rFonts w:cstheme="minorHAnsi"/>
                <w:b/>
              </w:rPr>
            </w:pPr>
            <w:r w:rsidRPr="00B165DC">
              <w:rPr>
                <w:rFonts w:cstheme="minorHAnsi"/>
                <w:b/>
              </w:rPr>
              <w:t xml:space="preserve">High alert after more fraud attempts </w:t>
            </w:r>
          </w:p>
          <w:p w:rsidR="00B165DC" w:rsidRPr="00B165DC" w:rsidRDefault="00B165DC" w:rsidP="00AD7E16">
            <w:pPr>
              <w:pStyle w:val="ListParagraph"/>
              <w:tabs>
                <w:tab w:val="right" w:pos="2540"/>
              </w:tabs>
              <w:spacing w:before="120" w:after="120"/>
              <w:ind w:left="340" w:right="-16"/>
              <w:jc w:val="both"/>
              <w:rPr>
                <w:rFonts w:cstheme="minorHAnsi"/>
                <w:b/>
              </w:rPr>
            </w:pPr>
          </w:p>
          <w:p w:rsidR="00B165DC" w:rsidRDefault="00B165DC" w:rsidP="009F7E68">
            <w:pPr>
              <w:pStyle w:val="ListParagraph"/>
              <w:numPr>
                <w:ilvl w:val="0"/>
                <w:numId w:val="5"/>
              </w:numPr>
              <w:tabs>
                <w:tab w:val="right" w:pos="2540"/>
              </w:tabs>
              <w:spacing w:before="120" w:after="120"/>
              <w:ind w:left="340" w:right="-16"/>
              <w:jc w:val="both"/>
              <w:rPr>
                <w:rFonts w:cstheme="minorHAnsi"/>
                <w:b/>
              </w:rPr>
            </w:pPr>
            <w:r w:rsidRPr="00B165DC">
              <w:rPr>
                <w:rFonts w:cstheme="minorHAnsi"/>
                <w:b/>
              </w:rPr>
              <w:t xml:space="preserve">Shoalwater Settlements </w:t>
            </w:r>
          </w:p>
          <w:p w:rsidR="00B165DC" w:rsidRPr="00B165DC" w:rsidRDefault="00B165DC" w:rsidP="00AD7E16">
            <w:pPr>
              <w:pStyle w:val="ListParagraph"/>
              <w:tabs>
                <w:tab w:val="right" w:pos="2540"/>
              </w:tabs>
              <w:spacing w:before="120" w:after="120"/>
              <w:ind w:left="340" w:right="-16"/>
              <w:jc w:val="both"/>
              <w:rPr>
                <w:rFonts w:cstheme="minorHAnsi"/>
                <w:b/>
              </w:rPr>
            </w:pPr>
          </w:p>
          <w:p w:rsidR="00745A89" w:rsidRDefault="00B165DC" w:rsidP="009F7E68">
            <w:pPr>
              <w:pStyle w:val="ListParagraph"/>
              <w:numPr>
                <w:ilvl w:val="0"/>
                <w:numId w:val="5"/>
              </w:numPr>
              <w:tabs>
                <w:tab w:val="right" w:pos="2540"/>
              </w:tabs>
              <w:spacing w:before="120" w:after="120"/>
              <w:ind w:left="340" w:right="-16"/>
              <w:jc w:val="both"/>
              <w:rPr>
                <w:rFonts w:cstheme="minorHAnsi"/>
                <w:b/>
              </w:rPr>
            </w:pPr>
            <w:r w:rsidRPr="00745A89">
              <w:rPr>
                <w:rFonts w:cstheme="minorHAnsi"/>
                <w:b/>
              </w:rPr>
              <w:t>Verifying client identity – an important</w:t>
            </w:r>
            <w:r w:rsidR="00745A89" w:rsidRPr="00745A89">
              <w:rPr>
                <w:rFonts w:cstheme="minorHAnsi"/>
                <w:b/>
              </w:rPr>
              <w:t xml:space="preserve"> </w:t>
            </w:r>
            <w:r w:rsidR="00745A89">
              <w:rPr>
                <w:rFonts w:cstheme="minorHAnsi"/>
                <w:b/>
              </w:rPr>
              <w:t>r</w:t>
            </w:r>
            <w:r w:rsidRPr="00745A89">
              <w:rPr>
                <w:rFonts w:cstheme="minorHAnsi"/>
                <w:b/>
              </w:rPr>
              <w:t xml:space="preserve">eminder </w:t>
            </w:r>
          </w:p>
          <w:p w:rsidR="00745A89" w:rsidRPr="00745A89" w:rsidRDefault="00745A89" w:rsidP="00AD7E16">
            <w:pPr>
              <w:pStyle w:val="ListParagraph"/>
              <w:spacing w:before="120" w:after="120"/>
              <w:rPr>
                <w:rFonts w:cstheme="minorHAnsi"/>
                <w:b/>
              </w:rPr>
            </w:pPr>
          </w:p>
          <w:p w:rsidR="00B165DC" w:rsidRPr="00745A89" w:rsidRDefault="00B165DC" w:rsidP="009F7E68">
            <w:pPr>
              <w:pStyle w:val="ListParagraph"/>
              <w:numPr>
                <w:ilvl w:val="0"/>
                <w:numId w:val="5"/>
              </w:numPr>
              <w:tabs>
                <w:tab w:val="right" w:pos="2540"/>
              </w:tabs>
              <w:spacing w:before="120" w:after="120"/>
              <w:ind w:left="340" w:right="-16"/>
              <w:jc w:val="both"/>
              <w:rPr>
                <w:rFonts w:cstheme="minorHAnsi"/>
                <w:b/>
              </w:rPr>
            </w:pPr>
            <w:r w:rsidRPr="00745A89">
              <w:rPr>
                <w:rFonts w:cstheme="minorHAnsi"/>
                <w:b/>
              </w:rPr>
              <w:t>Original documents.</w:t>
            </w:r>
          </w:p>
          <w:p w:rsidR="00B165DC" w:rsidRPr="00B165DC" w:rsidRDefault="00B165DC" w:rsidP="00AD7E16">
            <w:pPr>
              <w:pStyle w:val="ListParagraph"/>
              <w:tabs>
                <w:tab w:val="right" w:pos="2540"/>
              </w:tabs>
              <w:spacing w:before="120" w:after="120"/>
              <w:ind w:left="340" w:right="-16"/>
              <w:jc w:val="both"/>
              <w:rPr>
                <w:rFonts w:cstheme="minorHAnsi"/>
                <w:b/>
              </w:rPr>
            </w:pPr>
          </w:p>
          <w:p w:rsidR="00B165DC" w:rsidRPr="00B165DC" w:rsidRDefault="00B165DC" w:rsidP="009F7E68">
            <w:pPr>
              <w:pStyle w:val="ListParagraph"/>
              <w:numPr>
                <w:ilvl w:val="0"/>
                <w:numId w:val="5"/>
              </w:numPr>
              <w:tabs>
                <w:tab w:val="right" w:pos="2540"/>
              </w:tabs>
              <w:spacing w:before="120" w:after="120"/>
              <w:ind w:left="340" w:right="-16"/>
              <w:jc w:val="both"/>
              <w:rPr>
                <w:rFonts w:cstheme="minorHAnsi"/>
                <w:b/>
              </w:rPr>
            </w:pPr>
            <w:r w:rsidRPr="00B165DC">
              <w:rPr>
                <w:rFonts w:cstheme="minorHAnsi"/>
                <w:b/>
              </w:rPr>
              <w:t>Obtaining consent when using</w:t>
            </w:r>
            <w:r>
              <w:rPr>
                <w:rFonts w:cstheme="minorHAnsi"/>
                <w:b/>
              </w:rPr>
              <w:t xml:space="preserve"> </w:t>
            </w:r>
            <w:r w:rsidRPr="00B165DC">
              <w:rPr>
                <w:rFonts w:cstheme="minorHAnsi"/>
                <w:b/>
              </w:rPr>
              <w:t xml:space="preserve">a sub-agent </w:t>
            </w:r>
          </w:p>
          <w:p w:rsidR="00B165DC" w:rsidRPr="00B165DC" w:rsidRDefault="00B165DC" w:rsidP="00AD7E16">
            <w:pPr>
              <w:pStyle w:val="ListParagraph"/>
              <w:tabs>
                <w:tab w:val="right" w:pos="2540"/>
              </w:tabs>
              <w:spacing w:before="120" w:after="120"/>
              <w:ind w:left="340" w:right="-16"/>
              <w:jc w:val="both"/>
              <w:rPr>
                <w:rFonts w:cstheme="minorHAnsi"/>
                <w:b/>
              </w:rPr>
            </w:pPr>
          </w:p>
          <w:p w:rsidR="00B165DC" w:rsidRDefault="00B165DC" w:rsidP="009F7E68">
            <w:pPr>
              <w:pStyle w:val="ListParagraph"/>
              <w:numPr>
                <w:ilvl w:val="0"/>
                <w:numId w:val="5"/>
              </w:numPr>
              <w:tabs>
                <w:tab w:val="right" w:pos="2540"/>
              </w:tabs>
              <w:spacing w:before="120" w:after="120"/>
              <w:ind w:left="340" w:right="-16"/>
              <w:jc w:val="both"/>
              <w:rPr>
                <w:rFonts w:cstheme="minorHAnsi"/>
                <w:b/>
              </w:rPr>
            </w:pPr>
            <w:r w:rsidRPr="00B165DC">
              <w:rPr>
                <w:rFonts w:cstheme="minorHAnsi"/>
                <w:b/>
              </w:rPr>
              <w:t xml:space="preserve">Building regulation </w:t>
            </w:r>
          </w:p>
          <w:p w:rsidR="00B165DC" w:rsidRPr="00B165DC" w:rsidRDefault="00B165DC" w:rsidP="00AD7E16">
            <w:pPr>
              <w:pStyle w:val="ListParagraph"/>
              <w:tabs>
                <w:tab w:val="right" w:pos="2540"/>
              </w:tabs>
              <w:spacing w:before="120" w:after="120"/>
              <w:ind w:left="340" w:right="-16"/>
              <w:jc w:val="both"/>
              <w:rPr>
                <w:rFonts w:cstheme="minorHAnsi"/>
                <w:b/>
              </w:rPr>
            </w:pPr>
          </w:p>
          <w:p w:rsidR="00B165DC" w:rsidRPr="00B165DC" w:rsidRDefault="00B165DC" w:rsidP="009F7E68">
            <w:pPr>
              <w:pStyle w:val="ListParagraph"/>
              <w:numPr>
                <w:ilvl w:val="0"/>
                <w:numId w:val="5"/>
              </w:numPr>
              <w:tabs>
                <w:tab w:val="right" w:pos="2540"/>
              </w:tabs>
              <w:spacing w:before="120" w:after="120"/>
              <w:ind w:left="340" w:right="-16"/>
              <w:jc w:val="both"/>
              <w:rPr>
                <w:rFonts w:cstheme="minorHAnsi"/>
                <w:b/>
              </w:rPr>
            </w:pPr>
            <w:r w:rsidRPr="00B165DC">
              <w:rPr>
                <w:rFonts w:cstheme="minorHAnsi"/>
                <w:b/>
              </w:rPr>
              <w:t>Advertising the price of a service</w:t>
            </w:r>
          </w:p>
        </w:tc>
        <w:tc>
          <w:tcPr>
            <w:tcW w:w="9824" w:type="dxa"/>
          </w:tcPr>
          <w:p w:rsidR="00AD7E16" w:rsidRDefault="00AD7E16" w:rsidP="00473D30">
            <w:pPr>
              <w:tabs>
                <w:tab w:val="right" w:pos="9589"/>
              </w:tabs>
              <w:autoSpaceDE w:val="0"/>
              <w:autoSpaceDN w:val="0"/>
              <w:adjustRightInd w:val="0"/>
              <w:rPr>
                <w:rFonts w:ascii="Arial" w:hAnsi="Arial" w:cs="Arial"/>
                <w:color w:val="424142"/>
                <w:sz w:val="20"/>
                <w:szCs w:val="20"/>
              </w:rPr>
            </w:pPr>
          </w:p>
          <w:p w:rsidR="00AD7E16" w:rsidRDefault="00AD7E16" w:rsidP="0042413C">
            <w:pPr>
              <w:tabs>
                <w:tab w:val="right" w:pos="9589"/>
              </w:tabs>
              <w:autoSpaceDE w:val="0"/>
              <w:autoSpaceDN w:val="0"/>
              <w:adjustRightInd w:val="0"/>
              <w:ind w:left="376" w:hanging="376"/>
              <w:jc w:val="both"/>
              <w:rPr>
                <w:rFonts w:ascii="Arial" w:hAnsi="Arial" w:cs="Arial"/>
                <w:color w:val="424142"/>
                <w:sz w:val="20"/>
                <w:szCs w:val="20"/>
              </w:rPr>
            </w:pPr>
          </w:p>
          <w:p w:rsidR="00CF1450" w:rsidRPr="00AD7E16" w:rsidRDefault="00CF1450" w:rsidP="0042413C">
            <w:pPr>
              <w:pStyle w:val="ListParagraph"/>
              <w:tabs>
                <w:tab w:val="right" w:pos="9589"/>
              </w:tabs>
              <w:spacing w:before="120" w:after="120"/>
              <w:ind w:left="376" w:hanging="376"/>
              <w:jc w:val="both"/>
              <w:rPr>
                <w:rFonts w:ascii="Arial" w:hAnsi="Arial" w:cs="Arial"/>
                <w:color w:val="424142"/>
                <w:sz w:val="20"/>
                <w:szCs w:val="20"/>
              </w:rPr>
            </w:pPr>
          </w:p>
          <w:p w:rsidR="00473D30" w:rsidRPr="00473D30" w:rsidRDefault="00473D30" w:rsidP="009F7E68">
            <w:pPr>
              <w:pStyle w:val="ListParagraph"/>
              <w:numPr>
                <w:ilvl w:val="0"/>
                <w:numId w:val="6"/>
              </w:numPr>
              <w:tabs>
                <w:tab w:val="right" w:pos="9589"/>
              </w:tabs>
              <w:autoSpaceDE w:val="0"/>
              <w:autoSpaceDN w:val="0"/>
              <w:adjustRightInd w:val="0"/>
              <w:spacing w:before="120" w:after="120"/>
              <w:ind w:left="376" w:hanging="376"/>
              <w:jc w:val="both"/>
              <w:rPr>
                <w:rFonts w:ascii="Arial" w:hAnsi="Arial" w:cs="Arial"/>
                <w:color w:val="424142"/>
                <w:sz w:val="20"/>
                <w:szCs w:val="20"/>
              </w:rPr>
            </w:pPr>
            <w:r w:rsidRPr="00473D30">
              <w:rPr>
                <w:rFonts w:ascii="Arial" w:hAnsi="Arial" w:cs="Arial"/>
                <w:color w:val="424142"/>
                <w:sz w:val="20"/>
                <w:szCs w:val="20"/>
              </w:rPr>
              <w:t>The property industry in Western Australia has been warned to remain on high alert after recent  attempts by overseas criminals to fraudulently sell two Perth homes. The WA Police Major Fraud  Squad is investigating both incidents.</w:t>
            </w:r>
            <w:r w:rsidRPr="00473D30">
              <w:rPr>
                <w:rFonts w:ascii="HelveticaNeueLT-Medium" w:hAnsi="HelveticaNeueLT-Medium" w:cs="HelveticaNeueLT-Medium"/>
                <w:color w:val="424142"/>
              </w:rPr>
              <w:t xml:space="preserve"> </w:t>
            </w:r>
          </w:p>
          <w:p w:rsidR="00473D30" w:rsidRPr="00473D30" w:rsidRDefault="00473D30" w:rsidP="0042413C">
            <w:pPr>
              <w:pStyle w:val="ListParagraph"/>
              <w:tabs>
                <w:tab w:val="right" w:pos="9589"/>
              </w:tabs>
              <w:autoSpaceDE w:val="0"/>
              <w:autoSpaceDN w:val="0"/>
              <w:adjustRightInd w:val="0"/>
              <w:spacing w:before="120" w:after="120"/>
              <w:ind w:left="376" w:hanging="376"/>
              <w:jc w:val="both"/>
              <w:rPr>
                <w:rFonts w:ascii="Arial" w:hAnsi="Arial" w:cs="Arial"/>
                <w:color w:val="424142"/>
                <w:sz w:val="20"/>
                <w:szCs w:val="20"/>
              </w:rPr>
            </w:pPr>
          </w:p>
          <w:p w:rsidR="00CF1450" w:rsidRPr="00473D30" w:rsidRDefault="00473D30" w:rsidP="009F7E68">
            <w:pPr>
              <w:pStyle w:val="ListParagraph"/>
              <w:numPr>
                <w:ilvl w:val="0"/>
                <w:numId w:val="6"/>
              </w:numPr>
              <w:tabs>
                <w:tab w:val="right" w:pos="9589"/>
              </w:tabs>
              <w:autoSpaceDE w:val="0"/>
              <w:autoSpaceDN w:val="0"/>
              <w:adjustRightInd w:val="0"/>
              <w:spacing w:before="120" w:after="120"/>
              <w:ind w:left="376" w:hanging="376"/>
              <w:jc w:val="both"/>
              <w:rPr>
                <w:rFonts w:ascii="Arial" w:hAnsi="Arial" w:cs="Arial"/>
                <w:color w:val="424142"/>
                <w:sz w:val="20"/>
                <w:szCs w:val="20"/>
              </w:rPr>
            </w:pPr>
            <w:r>
              <w:rPr>
                <w:rFonts w:ascii="Arial" w:hAnsi="Arial" w:cs="Arial"/>
                <w:color w:val="424142"/>
                <w:sz w:val="20"/>
                <w:szCs w:val="20"/>
              </w:rPr>
              <w:t xml:space="preserve">Given </w:t>
            </w:r>
            <w:r w:rsidR="00AD7E16" w:rsidRPr="00473D30">
              <w:rPr>
                <w:rFonts w:ascii="Arial" w:hAnsi="Arial" w:cs="Arial"/>
                <w:color w:val="424142"/>
                <w:sz w:val="20"/>
                <w:szCs w:val="20"/>
              </w:rPr>
              <w:t>the recent property fraud attempts, it is important settlement agents are reminded of their obligations regarding the verification of client identity.</w:t>
            </w:r>
            <w:r w:rsidR="00CF1450" w:rsidRPr="00473D30">
              <w:rPr>
                <w:rFonts w:ascii="Arial" w:hAnsi="Arial" w:cs="Arial"/>
                <w:color w:val="424142"/>
                <w:sz w:val="20"/>
                <w:szCs w:val="20"/>
              </w:rPr>
              <w:t xml:space="preserve"> </w:t>
            </w:r>
          </w:p>
          <w:p w:rsidR="00CF1450" w:rsidRDefault="00CF1450" w:rsidP="0042413C">
            <w:pPr>
              <w:pStyle w:val="ListParagraph"/>
              <w:tabs>
                <w:tab w:val="right" w:pos="9589"/>
              </w:tabs>
              <w:autoSpaceDE w:val="0"/>
              <w:autoSpaceDN w:val="0"/>
              <w:adjustRightInd w:val="0"/>
              <w:ind w:left="376" w:hanging="376"/>
              <w:jc w:val="both"/>
              <w:rPr>
                <w:rFonts w:ascii="Arial" w:hAnsi="Arial" w:cs="Arial"/>
                <w:color w:val="424142"/>
                <w:sz w:val="20"/>
                <w:szCs w:val="20"/>
              </w:rPr>
            </w:pPr>
          </w:p>
          <w:p w:rsidR="00CF1450" w:rsidRDefault="00CF1450" w:rsidP="009F7E68">
            <w:pPr>
              <w:pStyle w:val="ListParagraph"/>
              <w:numPr>
                <w:ilvl w:val="0"/>
                <w:numId w:val="6"/>
              </w:numPr>
              <w:tabs>
                <w:tab w:val="right" w:pos="9589"/>
              </w:tabs>
              <w:autoSpaceDE w:val="0"/>
              <w:autoSpaceDN w:val="0"/>
              <w:adjustRightInd w:val="0"/>
              <w:ind w:left="376" w:hanging="376"/>
              <w:jc w:val="both"/>
              <w:rPr>
                <w:rFonts w:ascii="Arial" w:hAnsi="Arial" w:cs="Arial"/>
                <w:color w:val="424142"/>
                <w:sz w:val="20"/>
                <w:szCs w:val="20"/>
              </w:rPr>
            </w:pPr>
            <w:r w:rsidRPr="00CF1450">
              <w:rPr>
                <w:rFonts w:ascii="Arial" w:hAnsi="Arial" w:cs="Arial"/>
                <w:color w:val="424142"/>
                <w:sz w:val="20"/>
                <w:szCs w:val="20"/>
              </w:rPr>
              <w:t>During the course of a transaction, agencies receive a number of original documents such as declarations, plans, applications and transfers.  These are lodged with the relevant authorities, usually the Office of State Revenue and Landgate</w:t>
            </w:r>
            <w:r w:rsidR="00473D30">
              <w:rPr>
                <w:rFonts w:ascii="Arial" w:hAnsi="Arial" w:cs="Arial"/>
                <w:color w:val="424142"/>
                <w:sz w:val="20"/>
                <w:szCs w:val="20"/>
              </w:rPr>
              <w:t>.</w:t>
            </w:r>
          </w:p>
          <w:p w:rsidR="00CF1450" w:rsidRPr="00CF1450" w:rsidRDefault="00CF1450" w:rsidP="0042413C">
            <w:pPr>
              <w:pStyle w:val="ListParagraph"/>
              <w:tabs>
                <w:tab w:val="right" w:pos="9589"/>
              </w:tabs>
              <w:ind w:left="376" w:hanging="376"/>
              <w:jc w:val="both"/>
              <w:rPr>
                <w:rFonts w:ascii="Arial" w:hAnsi="Arial" w:cs="Arial"/>
                <w:color w:val="424142"/>
                <w:sz w:val="20"/>
                <w:szCs w:val="20"/>
              </w:rPr>
            </w:pPr>
          </w:p>
          <w:p w:rsidR="00CF1450" w:rsidRDefault="00CF1450" w:rsidP="009F7E68">
            <w:pPr>
              <w:pStyle w:val="ListParagraph"/>
              <w:numPr>
                <w:ilvl w:val="0"/>
                <w:numId w:val="6"/>
              </w:numPr>
              <w:tabs>
                <w:tab w:val="right" w:pos="9589"/>
              </w:tabs>
              <w:autoSpaceDE w:val="0"/>
              <w:autoSpaceDN w:val="0"/>
              <w:adjustRightInd w:val="0"/>
              <w:ind w:left="376" w:hanging="376"/>
              <w:jc w:val="both"/>
              <w:rPr>
                <w:rFonts w:ascii="Arial" w:hAnsi="Arial" w:cs="Arial"/>
                <w:color w:val="424142"/>
                <w:sz w:val="20"/>
                <w:szCs w:val="20"/>
              </w:rPr>
            </w:pPr>
            <w:r w:rsidRPr="00CF1450">
              <w:rPr>
                <w:rFonts w:ascii="Arial" w:hAnsi="Arial" w:cs="Arial"/>
                <w:color w:val="424142"/>
                <w:sz w:val="20"/>
                <w:szCs w:val="20"/>
              </w:rPr>
              <w:t xml:space="preserve">Agents who use sub-agents to attend settlement on their behalf need to obtain the informed consent of their client in writing before doing so. Before using a subagent, it is also important to ensure they are licensed and the holder of a current triennial certificate, or a legal practice certificate. </w:t>
            </w:r>
          </w:p>
          <w:p w:rsidR="00CF1450" w:rsidRPr="00CF1450" w:rsidRDefault="00CF1450" w:rsidP="0042413C">
            <w:pPr>
              <w:pStyle w:val="ListParagraph"/>
              <w:tabs>
                <w:tab w:val="right" w:pos="9589"/>
              </w:tabs>
              <w:ind w:left="376" w:hanging="376"/>
              <w:jc w:val="both"/>
              <w:rPr>
                <w:rFonts w:ascii="Arial" w:hAnsi="Arial" w:cs="Arial"/>
                <w:color w:val="424142"/>
                <w:sz w:val="20"/>
                <w:szCs w:val="20"/>
              </w:rPr>
            </w:pPr>
          </w:p>
          <w:p w:rsidR="00CF1450" w:rsidRDefault="00CF1450" w:rsidP="009F7E68">
            <w:pPr>
              <w:pStyle w:val="ListParagraph"/>
              <w:numPr>
                <w:ilvl w:val="0"/>
                <w:numId w:val="6"/>
              </w:numPr>
              <w:tabs>
                <w:tab w:val="right" w:pos="9589"/>
              </w:tabs>
              <w:autoSpaceDE w:val="0"/>
              <w:autoSpaceDN w:val="0"/>
              <w:adjustRightInd w:val="0"/>
              <w:ind w:left="376" w:hanging="376"/>
              <w:jc w:val="both"/>
              <w:rPr>
                <w:rFonts w:ascii="Arial" w:hAnsi="Arial" w:cs="Arial"/>
                <w:color w:val="424142"/>
                <w:sz w:val="20"/>
                <w:szCs w:val="20"/>
              </w:rPr>
            </w:pPr>
            <w:r w:rsidRPr="00CF1450">
              <w:rPr>
                <w:rFonts w:ascii="Arial" w:hAnsi="Arial" w:cs="Arial"/>
                <w:color w:val="424142"/>
                <w:sz w:val="20"/>
                <w:szCs w:val="20"/>
              </w:rPr>
              <w:t xml:space="preserve">New </w:t>
            </w:r>
            <w:r w:rsidR="00473D30">
              <w:rPr>
                <w:rFonts w:ascii="Arial" w:hAnsi="Arial" w:cs="Arial"/>
                <w:color w:val="424142"/>
                <w:sz w:val="20"/>
                <w:szCs w:val="20"/>
              </w:rPr>
              <w:t xml:space="preserve">Building </w:t>
            </w:r>
            <w:r w:rsidRPr="00CF1450">
              <w:rPr>
                <w:rFonts w:ascii="Arial" w:hAnsi="Arial" w:cs="Arial"/>
                <w:color w:val="424142"/>
                <w:sz w:val="20"/>
                <w:szCs w:val="20"/>
              </w:rPr>
              <w:t>regulations introduced in Western Australia from April 2012 have made several changes to the approvals process for a number of projects around residential properties.</w:t>
            </w:r>
          </w:p>
          <w:p w:rsidR="00473D30" w:rsidRPr="00473D30" w:rsidRDefault="00473D30" w:rsidP="0042413C">
            <w:pPr>
              <w:pStyle w:val="ListParagraph"/>
              <w:tabs>
                <w:tab w:val="right" w:pos="9589"/>
              </w:tabs>
              <w:ind w:left="376" w:hanging="376"/>
              <w:jc w:val="both"/>
              <w:rPr>
                <w:rFonts w:ascii="Arial" w:hAnsi="Arial" w:cs="Arial"/>
                <w:color w:val="424142"/>
                <w:sz w:val="20"/>
                <w:szCs w:val="20"/>
              </w:rPr>
            </w:pPr>
          </w:p>
          <w:p w:rsidR="00B165DC" w:rsidRPr="00473D30" w:rsidRDefault="00473D30" w:rsidP="009F7E68">
            <w:pPr>
              <w:pStyle w:val="ListParagraph"/>
              <w:numPr>
                <w:ilvl w:val="0"/>
                <w:numId w:val="6"/>
              </w:numPr>
              <w:tabs>
                <w:tab w:val="right" w:pos="9589"/>
              </w:tabs>
              <w:autoSpaceDE w:val="0"/>
              <w:autoSpaceDN w:val="0"/>
              <w:adjustRightInd w:val="0"/>
              <w:spacing w:before="120" w:after="120"/>
              <w:ind w:left="376" w:hanging="376"/>
              <w:jc w:val="both"/>
              <w:rPr>
                <w:rFonts w:ascii="Arial" w:hAnsi="Arial" w:cs="Arial"/>
                <w:color w:val="424142"/>
                <w:sz w:val="20"/>
                <w:szCs w:val="20"/>
              </w:rPr>
            </w:pPr>
            <w:r w:rsidRPr="00473D30">
              <w:rPr>
                <w:rFonts w:ascii="Arial" w:hAnsi="Arial" w:cs="Arial"/>
                <w:color w:val="424142"/>
                <w:sz w:val="20"/>
                <w:szCs w:val="20"/>
              </w:rPr>
              <w:t>When advertising the price of a service, agents are reminded they must prominently display the total amount they wish to charge consumers for their good or services.</w:t>
            </w:r>
          </w:p>
        </w:tc>
      </w:tr>
    </w:tbl>
    <w:p w:rsidR="00473D30" w:rsidRDefault="00473D30" w:rsidP="0042413C">
      <w:pPr>
        <w:jc w:val="both"/>
      </w:pPr>
    </w:p>
    <w:p w:rsidR="0042413C" w:rsidRPr="0042413C" w:rsidRDefault="0042413C" w:rsidP="0042413C">
      <w:pPr>
        <w:tabs>
          <w:tab w:val="right" w:pos="6663"/>
        </w:tabs>
        <w:spacing w:after="0"/>
        <w:jc w:val="both"/>
      </w:pPr>
    </w:p>
    <w:p w:rsidR="0042413C" w:rsidRPr="0042413C" w:rsidRDefault="0042413C" w:rsidP="0042413C">
      <w:pPr>
        <w:spacing w:line="240" w:lineRule="auto"/>
        <w:jc w:val="both"/>
      </w:pPr>
    </w:p>
    <w:p w:rsidR="00D60498" w:rsidRPr="00D60498" w:rsidRDefault="00D60498" w:rsidP="00D60498">
      <w:pPr>
        <w:framePr w:hSpace="181" w:wrap="around" w:vAnchor="text" w:hAnchor="text" w:x="-318" w:y="1"/>
        <w:tabs>
          <w:tab w:val="right" w:pos="2540"/>
        </w:tabs>
        <w:spacing w:before="120"/>
        <w:ind w:left="360" w:right="-16"/>
        <w:suppressOverlap/>
        <w:jc w:val="both"/>
        <w:rPr>
          <w:rFonts w:cstheme="minorHAnsi"/>
          <w:b/>
        </w:rPr>
      </w:pPr>
    </w:p>
    <w:p w:rsidR="00D60498" w:rsidRDefault="00D60498" w:rsidP="00707CA6">
      <w:pPr>
        <w:spacing w:after="0"/>
      </w:pPr>
    </w:p>
    <w:p w:rsidR="00707CA6" w:rsidRDefault="00707CA6" w:rsidP="00707CA6">
      <w:pPr>
        <w:spacing w:after="0"/>
      </w:pPr>
    </w:p>
    <w:p w:rsidR="00707CA6" w:rsidRDefault="00707CA6" w:rsidP="00707CA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D60498" w:rsidTr="00164B2D">
        <w:tc>
          <w:tcPr>
            <w:tcW w:w="1361" w:type="dxa"/>
            <w:shd w:val="clear" w:color="auto" w:fill="D9D9D9" w:themeFill="background1" w:themeFillShade="D9"/>
          </w:tcPr>
          <w:p w:rsidR="00D60498" w:rsidRPr="0025137B" w:rsidRDefault="00D60498" w:rsidP="00164B2D">
            <w:pPr>
              <w:spacing w:before="60" w:after="60"/>
              <w:rPr>
                <w:b/>
                <w:sz w:val="24"/>
                <w:szCs w:val="24"/>
              </w:rPr>
            </w:pPr>
            <w:r w:rsidRPr="0025137B">
              <w:rPr>
                <w:b/>
                <w:sz w:val="24"/>
                <w:szCs w:val="24"/>
              </w:rPr>
              <w:lastRenderedPageBreak/>
              <w:t>DATE / NO.</w:t>
            </w:r>
          </w:p>
        </w:tc>
        <w:tc>
          <w:tcPr>
            <w:tcW w:w="3792" w:type="dxa"/>
            <w:shd w:val="clear" w:color="auto" w:fill="D9D9D9" w:themeFill="background1" w:themeFillShade="D9"/>
          </w:tcPr>
          <w:p w:rsidR="00D60498" w:rsidRPr="0025137B" w:rsidRDefault="00D60498" w:rsidP="00164B2D">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D60498" w:rsidRPr="0025137B" w:rsidRDefault="00D60498" w:rsidP="00164B2D">
            <w:pPr>
              <w:spacing w:before="60" w:after="60"/>
              <w:rPr>
                <w:b/>
                <w:sz w:val="24"/>
                <w:szCs w:val="24"/>
              </w:rPr>
            </w:pPr>
            <w:r w:rsidRPr="0025137B">
              <w:rPr>
                <w:b/>
                <w:sz w:val="24"/>
                <w:szCs w:val="24"/>
              </w:rPr>
              <w:t>CONTENT SUMMARY</w:t>
            </w:r>
          </w:p>
        </w:tc>
      </w:tr>
      <w:tr w:rsidR="00B165DC" w:rsidTr="00D2171D">
        <w:trPr>
          <w:cantSplit/>
          <w:trHeight w:val="1134"/>
        </w:trPr>
        <w:tc>
          <w:tcPr>
            <w:tcW w:w="1361" w:type="dxa"/>
          </w:tcPr>
          <w:p w:rsidR="00473D30" w:rsidRPr="0025137B" w:rsidRDefault="008F5AD7" w:rsidP="00473D30">
            <w:pPr>
              <w:spacing w:before="120" w:after="120"/>
              <w:jc w:val="both"/>
            </w:pPr>
            <w:r>
              <w:rPr>
                <w:b/>
                <w:bCs/>
              </w:rPr>
              <w:t xml:space="preserve">January </w:t>
            </w:r>
            <w:r w:rsidR="00473D30" w:rsidRPr="0025137B">
              <w:rPr>
                <w:b/>
                <w:bCs/>
              </w:rPr>
              <w:t>2013</w:t>
            </w:r>
          </w:p>
          <w:p w:rsidR="00473D30" w:rsidRDefault="00473D30" w:rsidP="00473D30">
            <w:pPr>
              <w:spacing w:before="120" w:after="120"/>
              <w:jc w:val="both"/>
              <w:rPr>
                <w:b/>
                <w:bCs/>
              </w:rPr>
            </w:pPr>
            <w:r>
              <w:rPr>
                <w:b/>
                <w:bCs/>
              </w:rPr>
              <w:t xml:space="preserve">No. </w:t>
            </w:r>
            <w:r w:rsidR="008F5AD7">
              <w:rPr>
                <w:b/>
                <w:bCs/>
              </w:rPr>
              <w:t>5</w:t>
            </w:r>
          </w:p>
          <w:p w:rsidR="00B165DC" w:rsidRDefault="00B165DC" w:rsidP="00473D30">
            <w:pPr>
              <w:spacing w:before="120"/>
              <w:jc w:val="both"/>
            </w:pPr>
          </w:p>
        </w:tc>
        <w:tc>
          <w:tcPr>
            <w:tcW w:w="3792" w:type="dxa"/>
          </w:tcPr>
          <w:p w:rsidR="00B165DC" w:rsidRDefault="008F5AD7" w:rsidP="009F7E68">
            <w:pPr>
              <w:pStyle w:val="ListParagraph"/>
              <w:numPr>
                <w:ilvl w:val="0"/>
                <w:numId w:val="7"/>
              </w:numPr>
              <w:tabs>
                <w:tab w:val="right" w:pos="2540"/>
              </w:tabs>
              <w:spacing w:before="120"/>
              <w:ind w:left="340" w:right="-16"/>
              <w:jc w:val="both"/>
              <w:rPr>
                <w:rFonts w:cstheme="minorHAnsi"/>
                <w:b/>
              </w:rPr>
            </w:pPr>
            <w:r w:rsidRPr="008F5AD7">
              <w:rPr>
                <w:rFonts w:cstheme="minorHAnsi"/>
                <w:b/>
              </w:rPr>
              <w:t>Settlement agents, strata developments and</w:t>
            </w:r>
            <w:r>
              <w:rPr>
                <w:rFonts w:cstheme="minorHAnsi"/>
                <w:b/>
              </w:rPr>
              <w:t xml:space="preserve"> </w:t>
            </w:r>
            <w:r w:rsidRPr="008F5AD7">
              <w:rPr>
                <w:rFonts w:cstheme="minorHAnsi"/>
                <w:b/>
              </w:rPr>
              <w:t>trust accounts</w:t>
            </w:r>
          </w:p>
          <w:p w:rsidR="008F5AD7" w:rsidRDefault="008F5AD7" w:rsidP="008F5AD7">
            <w:pPr>
              <w:pStyle w:val="ListParagraph"/>
              <w:tabs>
                <w:tab w:val="right" w:pos="2540"/>
              </w:tabs>
              <w:spacing w:before="120"/>
              <w:ind w:left="340" w:right="-16" w:hanging="340"/>
              <w:jc w:val="both"/>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Disputed funds in an interest bearing trust account post-settlement</w:t>
            </w:r>
          </w:p>
          <w:p w:rsidR="008F5AD7" w:rsidRPr="008F5AD7" w:rsidRDefault="008F5AD7" w:rsidP="008F5AD7">
            <w:pPr>
              <w:pStyle w:val="ListParagraph"/>
              <w:spacing w:before="120"/>
              <w:ind w:left="340" w:hanging="340"/>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Dealing with interest bearing trust accounts</w:t>
            </w:r>
          </w:p>
          <w:p w:rsidR="008F5AD7" w:rsidRPr="008F5AD7" w:rsidRDefault="008F5AD7" w:rsidP="008F5AD7">
            <w:pPr>
              <w:pStyle w:val="ListParagraph"/>
              <w:ind w:left="340" w:hanging="340"/>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The Department’s website</w:t>
            </w:r>
          </w:p>
          <w:p w:rsidR="008F5AD7" w:rsidRPr="008F5AD7" w:rsidRDefault="008F5AD7" w:rsidP="008F5AD7">
            <w:pPr>
              <w:pStyle w:val="ListParagraph"/>
              <w:ind w:left="340" w:hanging="340"/>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Titling documents correctly</w:t>
            </w:r>
          </w:p>
          <w:p w:rsidR="008F5AD7" w:rsidRPr="008F5AD7" w:rsidRDefault="008F5AD7" w:rsidP="008F5AD7">
            <w:pPr>
              <w:pStyle w:val="ListParagraph"/>
              <w:ind w:left="340" w:hanging="340"/>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Preparing tax invoices at time of settlement</w:t>
            </w:r>
          </w:p>
          <w:p w:rsidR="008F5AD7" w:rsidRPr="008F5AD7" w:rsidRDefault="008F5AD7" w:rsidP="008F5AD7">
            <w:pPr>
              <w:pStyle w:val="ListParagraph"/>
              <w:ind w:left="340" w:hanging="340"/>
              <w:rPr>
                <w:rFonts w:cstheme="minorHAnsi"/>
                <w:b/>
              </w:rPr>
            </w:pPr>
          </w:p>
          <w:p w:rsidR="008F5AD7" w:rsidRDefault="008F5AD7" w:rsidP="009F7E68">
            <w:pPr>
              <w:pStyle w:val="ListParagraph"/>
              <w:numPr>
                <w:ilvl w:val="0"/>
                <w:numId w:val="7"/>
              </w:numPr>
              <w:tabs>
                <w:tab w:val="right" w:pos="2540"/>
              </w:tabs>
              <w:spacing w:before="120"/>
              <w:ind w:left="340" w:right="-16" w:hanging="340"/>
              <w:jc w:val="both"/>
              <w:rPr>
                <w:rFonts w:cstheme="minorHAnsi"/>
                <w:b/>
              </w:rPr>
            </w:pPr>
            <w:r w:rsidRPr="008F5AD7">
              <w:rPr>
                <w:rFonts w:cstheme="minorHAnsi"/>
                <w:b/>
              </w:rPr>
              <w:t>Online licence search</w:t>
            </w:r>
          </w:p>
          <w:p w:rsidR="008F5AD7" w:rsidRPr="008F5AD7" w:rsidRDefault="008F5AD7" w:rsidP="008F5AD7">
            <w:pPr>
              <w:tabs>
                <w:tab w:val="right" w:pos="2540"/>
              </w:tabs>
              <w:spacing w:before="120" w:after="60"/>
              <w:ind w:right="-16"/>
              <w:jc w:val="both"/>
              <w:rPr>
                <w:rFonts w:cstheme="minorHAnsi"/>
                <w:b/>
              </w:rPr>
            </w:pPr>
          </w:p>
        </w:tc>
        <w:tc>
          <w:tcPr>
            <w:tcW w:w="9824" w:type="dxa"/>
          </w:tcPr>
          <w:p w:rsidR="0042413C" w:rsidRPr="00D2171D" w:rsidRDefault="0042413C" w:rsidP="009F7E68">
            <w:pPr>
              <w:pStyle w:val="ListParagraph"/>
              <w:numPr>
                <w:ilvl w:val="0"/>
                <w:numId w:val="8"/>
              </w:numPr>
              <w:tabs>
                <w:tab w:val="right" w:pos="9589"/>
              </w:tabs>
              <w:spacing w:before="120" w:after="120"/>
              <w:ind w:left="376"/>
              <w:jc w:val="both"/>
              <w:rPr>
                <w:rFonts w:ascii="Arial" w:hAnsi="Arial" w:cs="Arial"/>
                <w:color w:val="424142"/>
                <w:sz w:val="20"/>
                <w:szCs w:val="20"/>
              </w:rPr>
            </w:pPr>
            <w:r w:rsidRPr="00D2171D">
              <w:rPr>
                <w:rFonts w:ascii="Arial" w:hAnsi="Arial" w:cs="Arial"/>
                <w:sz w:val="20"/>
                <w:szCs w:val="20"/>
              </w:rPr>
              <w:t xml:space="preserve">In light of a recent State </w:t>
            </w:r>
            <w:r w:rsidR="00D2171D" w:rsidRPr="00D2171D">
              <w:rPr>
                <w:rFonts w:ascii="Arial" w:hAnsi="Arial" w:cs="Arial"/>
                <w:sz w:val="20"/>
                <w:szCs w:val="20"/>
              </w:rPr>
              <w:t xml:space="preserve">Administrative Tribunal </w:t>
            </w:r>
            <w:r w:rsidRPr="00D2171D">
              <w:rPr>
                <w:rFonts w:ascii="Arial" w:hAnsi="Arial" w:cs="Arial"/>
                <w:sz w:val="20"/>
                <w:szCs w:val="20"/>
              </w:rPr>
              <w:t xml:space="preserve">decision in the matter of Wilson and Commissioner for Consumer Protection [2012] WASAT 200, the Commissioner for Consumer Protection </w:t>
            </w:r>
            <w:r w:rsidR="00D2171D" w:rsidRPr="00D2171D">
              <w:rPr>
                <w:rFonts w:ascii="Arial" w:hAnsi="Arial" w:cs="Arial"/>
                <w:sz w:val="20"/>
                <w:szCs w:val="20"/>
              </w:rPr>
              <w:t>reminds agent</w:t>
            </w:r>
            <w:r w:rsidRPr="00D2171D">
              <w:rPr>
                <w:rFonts w:ascii="Arial" w:hAnsi="Arial" w:cs="Arial"/>
                <w:sz w:val="20"/>
                <w:szCs w:val="20"/>
              </w:rPr>
              <w:t xml:space="preserve">s dealing with strata developments that they must hold deposit moneys in a trust account and comply with the protections afforded to purchasers by the </w:t>
            </w:r>
            <w:r w:rsidR="00D2171D" w:rsidRPr="00D2171D">
              <w:rPr>
                <w:rFonts w:ascii="Arial" w:hAnsi="Arial" w:cs="Arial"/>
                <w:sz w:val="20"/>
                <w:szCs w:val="20"/>
              </w:rPr>
              <w:t>Strata Titles Act 1985.</w:t>
            </w:r>
            <w:r w:rsidR="00A725BD" w:rsidRPr="00D2171D">
              <w:rPr>
                <w:rFonts w:ascii="Arial" w:hAnsi="Arial" w:cs="Arial"/>
                <w:color w:val="424142"/>
                <w:sz w:val="20"/>
                <w:szCs w:val="20"/>
              </w:rPr>
              <w:t xml:space="preserve"> </w:t>
            </w:r>
          </w:p>
          <w:p w:rsidR="00D2171D" w:rsidRPr="00D2171D" w:rsidRDefault="00D2171D" w:rsidP="00D2171D">
            <w:pPr>
              <w:pStyle w:val="ListParagraph"/>
              <w:tabs>
                <w:tab w:val="right" w:pos="9589"/>
              </w:tabs>
              <w:spacing w:before="120" w:after="120"/>
              <w:ind w:left="376"/>
              <w:jc w:val="both"/>
              <w:rPr>
                <w:rFonts w:ascii="Arial" w:hAnsi="Arial" w:cs="Arial"/>
                <w:color w:val="424142"/>
                <w:sz w:val="20"/>
                <w:szCs w:val="20"/>
              </w:rPr>
            </w:pPr>
          </w:p>
          <w:p w:rsidR="00D2171D" w:rsidRPr="00D2171D" w:rsidRDefault="0042413C" w:rsidP="009F7E68">
            <w:pPr>
              <w:pStyle w:val="ListParagraph"/>
              <w:numPr>
                <w:ilvl w:val="0"/>
                <w:numId w:val="8"/>
              </w:numPr>
              <w:tabs>
                <w:tab w:val="right" w:pos="9589"/>
              </w:tabs>
              <w:spacing w:before="120" w:after="120"/>
              <w:ind w:left="376"/>
              <w:jc w:val="both"/>
              <w:rPr>
                <w:rFonts w:ascii="Arial" w:hAnsi="Arial" w:cs="Arial"/>
                <w:color w:val="424142"/>
                <w:sz w:val="20"/>
                <w:szCs w:val="20"/>
              </w:rPr>
            </w:pPr>
            <w:r w:rsidRPr="00D2171D">
              <w:rPr>
                <w:rFonts w:ascii="Arial" w:hAnsi="Arial" w:cs="Arial"/>
                <w:color w:val="424142"/>
                <w:sz w:val="20"/>
                <w:szCs w:val="20"/>
              </w:rPr>
              <w:t>Department reminds agents that disputed funds retained a</w:t>
            </w:r>
            <w:r w:rsidR="00D2171D" w:rsidRPr="00D2171D">
              <w:rPr>
                <w:rFonts w:ascii="Arial" w:hAnsi="Arial" w:cs="Arial"/>
                <w:color w:val="424142"/>
                <w:sz w:val="20"/>
                <w:szCs w:val="20"/>
              </w:rPr>
              <w:t xml:space="preserve">fter settlement can only be kept </w:t>
            </w:r>
            <w:r w:rsidRPr="00D2171D">
              <w:rPr>
                <w:rFonts w:ascii="Arial" w:hAnsi="Arial" w:cs="Arial"/>
                <w:color w:val="424142"/>
                <w:sz w:val="20"/>
                <w:szCs w:val="20"/>
              </w:rPr>
              <w:t xml:space="preserve">in the general trust account and not in an interest bearing trust </w:t>
            </w:r>
            <w:r w:rsidR="00D2171D" w:rsidRPr="00D2171D">
              <w:rPr>
                <w:rFonts w:ascii="Arial" w:hAnsi="Arial" w:cs="Arial"/>
                <w:color w:val="424142"/>
                <w:sz w:val="20"/>
                <w:szCs w:val="20"/>
              </w:rPr>
              <w:t>accounts.</w:t>
            </w:r>
          </w:p>
          <w:p w:rsidR="00D2171D" w:rsidRPr="00D2171D" w:rsidRDefault="00D2171D" w:rsidP="00D2171D">
            <w:pPr>
              <w:pStyle w:val="ListParagraph"/>
              <w:ind w:left="376"/>
              <w:rPr>
                <w:rFonts w:ascii="Arial" w:hAnsi="Arial" w:cs="Arial"/>
                <w:color w:val="424142"/>
                <w:sz w:val="20"/>
                <w:szCs w:val="20"/>
              </w:rPr>
            </w:pPr>
          </w:p>
          <w:p w:rsidR="00D2171D" w:rsidRPr="00D2171D" w:rsidRDefault="00D2171D" w:rsidP="009F7E68">
            <w:pPr>
              <w:pStyle w:val="ListParagraph"/>
              <w:numPr>
                <w:ilvl w:val="0"/>
                <w:numId w:val="8"/>
              </w:numPr>
              <w:ind w:left="376"/>
              <w:jc w:val="both"/>
              <w:rPr>
                <w:rFonts w:ascii="Arial" w:hAnsi="Arial" w:cs="Arial"/>
                <w:sz w:val="20"/>
                <w:szCs w:val="20"/>
              </w:rPr>
            </w:pPr>
            <w:r w:rsidRPr="00D2171D">
              <w:rPr>
                <w:rFonts w:ascii="Arial" w:hAnsi="Arial" w:cs="Arial"/>
                <w:sz w:val="20"/>
                <w:szCs w:val="20"/>
              </w:rPr>
              <w:t xml:space="preserve">Settlement agents need to be aware of issues surrounding interest bearing trust accounts.  Agents are required to open separate interest bearing trust accounts for a client if a written request is received from that individual for an amount in excess of $20,000, or for money needed for a transaction that will not be settled within 60 days.  </w:t>
            </w:r>
          </w:p>
          <w:p w:rsidR="00D2171D" w:rsidRPr="00D2171D" w:rsidRDefault="00D2171D" w:rsidP="00D2171D">
            <w:pPr>
              <w:pStyle w:val="ListParagraph"/>
              <w:ind w:left="376"/>
              <w:rPr>
                <w:rFonts w:ascii="Arial" w:hAnsi="Arial" w:cs="Arial"/>
                <w:sz w:val="20"/>
                <w:szCs w:val="20"/>
              </w:rPr>
            </w:pPr>
          </w:p>
          <w:p w:rsidR="00D60498" w:rsidRDefault="00D2171D" w:rsidP="009F7E68">
            <w:pPr>
              <w:pStyle w:val="ListParagraph"/>
              <w:numPr>
                <w:ilvl w:val="0"/>
                <w:numId w:val="8"/>
              </w:numPr>
              <w:ind w:left="376"/>
              <w:jc w:val="both"/>
              <w:rPr>
                <w:rFonts w:ascii="Arial" w:hAnsi="Arial" w:cs="Arial"/>
                <w:sz w:val="20"/>
                <w:szCs w:val="20"/>
              </w:rPr>
            </w:pPr>
            <w:r w:rsidRPr="00D2171D">
              <w:rPr>
                <w:rFonts w:ascii="Arial" w:hAnsi="Arial" w:cs="Arial"/>
                <w:sz w:val="20"/>
                <w:szCs w:val="20"/>
              </w:rPr>
              <w:t>Department’s website is an integral tool in assisting to conduct and promote education and provide advisory services to industry participants and the public</w:t>
            </w:r>
            <w:r w:rsidR="00D60498">
              <w:rPr>
                <w:rFonts w:ascii="Arial" w:hAnsi="Arial" w:cs="Arial"/>
                <w:sz w:val="20"/>
                <w:szCs w:val="20"/>
              </w:rPr>
              <w:t xml:space="preserve">. </w:t>
            </w:r>
          </w:p>
          <w:p w:rsidR="00D60498" w:rsidRPr="00D60498" w:rsidRDefault="00D60498" w:rsidP="00D60498">
            <w:pPr>
              <w:pStyle w:val="ListParagraph"/>
              <w:rPr>
                <w:rFonts w:ascii="Arial" w:hAnsi="Arial" w:cs="Arial"/>
                <w:sz w:val="20"/>
                <w:szCs w:val="20"/>
              </w:rPr>
            </w:pPr>
          </w:p>
          <w:p w:rsidR="00D60498" w:rsidRDefault="00D60498" w:rsidP="009F7E68">
            <w:pPr>
              <w:pStyle w:val="ListParagraph"/>
              <w:numPr>
                <w:ilvl w:val="0"/>
                <w:numId w:val="8"/>
              </w:numPr>
              <w:ind w:left="376"/>
              <w:jc w:val="both"/>
              <w:rPr>
                <w:rFonts w:ascii="Arial" w:hAnsi="Arial" w:cs="Arial"/>
                <w:sz w:val="20"/>
                <w:szCs w:val="20"/>
              </w:rPr>
            </w:pPr>
            <w:r w:rsidRPr="00D60498">
              <w:rPr>
                <w:rFonts w:ascii="Arial" w:hAnsi="Arial" w:cs="Arial"/>
                <w:sz w:val="20"/>
                <w:szCs w:val="20"/>
              </w:rPr>
              <w:t xml:space="preserve">The settlement industry has kept pace with many technological innovations since the implementation of the </w:t>
            </w:r>
            <w:r w:rsidRPr="00D60498">
              <w:rPr>
                <w:rFonts w:ascii="Arial" w:hAnsi="Arial" w:cs="Arial"/>
                <w:i/>
                <w:iCs/>
                <w:sz w:val="20"/>
                <w:szCs w:val="20"/>
              </w:rPr>
              <w:t xml:space="preserve">Settlement Agents Act 1981 </w:t>
            </w:r>
            <w:r w:rsidRPr="00D60498">
              <w:rPr>
                <w:rFonts w:ascii="Arial" w:hAnsi="Arial" w:cs="Arial"/>
                <w:sz w:val="20"/>
                <w:szCs w:val="20"/>
              </w:rPr>
              <w:t>(the Act), the most obvious being the widespread use of emails and website</w:t>
            </w:r>
            <w:r>
              <w:rPr>
                <w:rFonts w:ascii="Arial" w:hAnsi="Arial" w:cs="Arial"/>
                <w:sz w:val="20"/>
                <w:szCs w:val="20"/>
              </w:rPr>
              <w:t>.</w:t>
            </w:r>
          </w:p>
          <w:p w:rsidR="00D60498" w:rsidRPr="00D60498" w:rsidRDefault="00D60498" w:rsidP="00D60498">
            <w:pPr>
              <w:pStyle w:val="ListParagraph"/>
              <w:ind w:left="376" w:hanging="376"/>
              <w:rPr>
                <w:rFonts w:ascii="Arial" w:hAnsi="Arial" w:cs="Arial"/>
                <w:sz w:val="20"/>
                <w:szCs w:val="20"/>
              </w:rPr>
            </w:pPr>
          </w:p>
          <w:p w:rsidR="00D60498" w:rsidRDefault="00D60498" w:rsidP="009F7E68">
            <w:pPr>
              <w:pStyle w:val="ListParagraph"/>
              <w:numPr>
                <w:ilvl w:val="0"/>
                <w:numId w:val="8"/>
              </w:numPr>
              <w:ind w:left="376" w:hanging="376"/>
              <w:jc w:val="both"/>
              <w:rPr>
                <w:rFonts w:ascii="Arial" w:hAnsi="Arial" w:cs="Arial"/>
                <w:sz w:val="20"/>
                <w:szCs w:val="20"/>
              </w:rPr>
            </w:pPr>
            <w:r w:rsidRPr="00D60498">
              <w:rPr>
                <w:rFonts w:ascii="Arial" w:hAnsi="Arial" w:cs="Arial"/>
                <w:sz w:val="20"/>
                <w:szCs w:val="20"/>
              </w:rPr>
              <w:t xml:space="preserve">Department wishes to reiterate that the </w:t>
            </w:r>
            <w:r w:rsidRPr="00D60498">
              <w:rPr>
                <w:rFonts w:ascii="Arial" w:hAnsi="Arial" w:cs="Arial"/>
                <w:i/>
                <w:iCs/>
                <w:sz w:val="20"/>
                <w:szCs w:val="20"/>
              </w:rPr>
              <w:t xml:space="preserve">Settlement Agents Act 1981 </w:t>
            </w:r>
            <w:r w:rsidRPr="00D60498">
              <w:rPr>
                <w:rFonts w:ascii="Arial" w:hAnsi="Arial" w:cs="Arial"/>
                <w:sz w:val="20"/>
                <w:szCs w:val="20"/>
              </w:rPr>
              <w:t xml:space="preserve">does not authorise settlement agents to prepare tax invoices on behalf of the seller.  </w:t>
            </w:r>
          </w:p>
          <w:p w:rsidR="00D60498" w:rsidRPr="00D60498" w:rsidRDefault="00D60498" w:rsidP="00D60498">
            <w:pPr>
              <w:pStyle w:val="ListParagraph"/>
              <w:rPr>
                <w:rFonts w:ascii="Arial" w:hAnsi="Arial" w:cs="Arial"/>
                <w:sz w:val="20"/>
                <w:szCs w:val="20"/>
              </w:rPr>
            </w:pPr>
          </w:p>
          <w:p w:rsidR="00D60498" w:rsidRPr="00D60498" w:rsidRDefault="00D60498" w:rsidP="009F7E68">
            <w:pPr>
              <w:pStyle w:val="ListParagraph"/>
              <w:numPr>
                <w:ilvl w:val="0"/>
                <w:numId w:val="8"/>
              </w:numPr>
              <w:ind w:left="376" w:hanging="376"/>
              <w:jc w:val="both"/>
              <w:rPr>
                <w:rFonts w:ascii="Arial" w:hAnsi="Arial" w:cs="Arial"/>
                <w:sz w:val="20"/>
                <w:szCs w:val="20"/>
              </w:rPr>
            </w:pPr>
            <w:r w:rsidRPr="00D60498">
              <w:rPr>
                <w:rFonts w:ascii="Arial" w:hAnsi="Arial" w:cs="Arial"/>
                <w:sz w:val="20"/>
                <w:szCs w:val="20"/>
              </w:rPr>
              <w:t>Department of Commerce’s online licence search facility is a quick and easy way to check whether an individual, partnership or company is licensed or registered in WA. This applies to all settlement agents, real estate and business agents and sales representatives.</w:t>
            </w:r>
          </w:p>
          <w:p w:rsidR="0042413C" w:rsidRPr="00D2171D" w:rsidRDefault="0042413C" w:rsidP="00D2171D">
            <w:pPr>
              <w:jc w:val="both"/>
              <w:rPr>
                <w:rFonts w:ascii="Arial" w:hAnsi="Arial" w:cs="Arial"/>
                <w:sz w:val="20"/>
                <w:szCs w:val="20"/>
              </w:rPr>
            </w:pPr>
          </w:p>
        </w:tc>
      </w:tr>
    </w:tbl>
    <w:p w:rsidR="00A455E7" w:rsidRDefault="00A455E7"/>
    <w:p w:rsidR="000F050A" w:rsidRDefault="000F050A"/>
    <w:p w:rsidR="000F050A" w:rsidRDefault="000F050A"/>
    <w:p w:rsidR="000F050A" w:rsidRDefault="000F050A"/>
    <w:p w:rsidR="00842B1D" w:rsidRDefault="00842B1D"/>
    <w:p w:rsidR="00842B1D" w:rsidRDefault="00842B1D"/>
    <w:p w:rsidR="00707CA6" w:rsidRDefault="00707CA6" w:rsidP="00707CA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707CA6" w:rsidTr="00164B2D">
        <w:tc>
          <w:tcPr>
            <w:tcW w:w="1361" w:type="dxa"/>
            <w:shd w:val="clear" w:color="auto" w:fill="D9D9D9" w:themeFill="background1" w:themeFillShade="D9"/>
          </w:tcPr>
          <w:p w:rsidR="00707CA6" w:rsidRPr="0025137B" w:rsidRDefault="00707CA6" w:rsidP="00164B2D">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707CA6" w:rsidRPr="0025137B" w:rsidRDefault="00707CA6" w:rsidP="00164B2D">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707CA6" w:rsidRPr="0025137B" w:rsidRDefault="00707CA6" w:rsidP="00164B2D">
            <w:pPr>
              <w:spacing w:before="60" w:after="60"/>
              <w:rPr>
                <w:b/>
                <w:sz w:val="24"/>
                <w:szCs w:val="24"/>
              </w:rPr>
            </w:pPr>
            <w:r w:rsidRPr="0025137B">
              <w:rPr>
                <w:b/>
                <w:sz w:val="24"/>
                <w:szCs w:val="24"/>
              </w:rPr>
              <w:t>CONTENT SUMMARY</w:t>
            </w:r>
          </w:p>
        </w:tc>
      </w:tr>
      <w:tr w:rsidR="00B165DC" w:rsidTr="00B165DC">
        <w:tc>
          <w:tcPr>
            <w:tcW w:w="1361" w:type="dxa"/>
          </w:tcPr>
          <w:p w:rsidR="00FF24C6" w:rsidRPr="0025137B" w:rsidRDefault="00FF24C6" w:rsidP="00FF24C6">
            <w:pPr>
              <w:spacing w:before="120"/>
              <w:jc w:val="both"/>
            </w:pPr>
            <w:r>
              <w:rPr>
                <w:b/>
                <w:bCs/>
              </w:rPr>
              <w:t>October 2012</w:t>
            </w:r>
          </w:p>
          <w:p w:rsidR="00FF24C6" w:rsidRDefault="00FF24C6" w:rsidP="00FF24C6">
            <w:pPr>
              <w:spacing w:before="120"/>
              <w:jc w:val="both"/>
              <w:rPr>
                <w:b/>
                <w:bCs/>
              </w:rPr>
            </w:pPr>
            <w:r>
              <w:rPr>
                <w:b/>
                <w:bCs/>
              </w:rPr>
              <w:t>No. 4</w:t>
            </w:r>
          </w:p>
          <w:p w:rsidR="00B165DC" w:rsidRDefault="00B165DC" w:rsidP="00A455E7">
            <w:pPr>
              <w:spacing w:before="120" w:after="120"/>
              <w:jc w:val="both"/>
            </w:pPr>
          </w:p>
        </w:tc>
        <w:tc>
          <w:tcPr>
            <w:tcW w:w="3792" w:type="dxa"/>
          </w:tcPr>
          <w:p w:rsidR="00A455E7" w:rsidRPr="00707CA6" w:rsidRDefault="00A455E7" w:rsidP="009F7E68">
            <w:pPr>
              <w:pStyle w:val="ListParagraph"/>
              <w:numPr>
                <w:ilvl w:val="0"/>
                <w:numId w:val="9"/>
              </w:numPr>
              <w:tabs>
                <w:tab w:val="right" w:pos="2540"/>
              </w:tabs>
              <w:spacing w:before="120"/>
              <w:ind w:left="340" w:right="-16"/>
              <w:jc w:val="both"/>
              <w:rPr>
                <w:rFonts w:cstheme="minorHAnsi"/>
                <w:b/>
              </w:rPr>
            </w:pPr>
            <w:r w:rsidRPr="00707CA6">
              <w:rPr>
                <w:rFonts w:cstheme="minorHAnsi"/>
                <w:b/>
              </w:rPr>
              <w:t>Renewal applications now to be lodged at Department of Commerce</w:t>
            </w:r>
          </w:p>
          <w:p w:rsidR="00A455E7" w:rsidRDefault="00A455E7" w:rsidP="00707CA6">
            <w:pPr>
              <w:pStyle w:val="ListParagraph"/>
              <w:tabs>
                <w:tab w:val="right" w:pos="2540"/>
              </w:tabs>
              <w:spacing w:before="120"/>
              <w:ind w:left="340" w:right="-16"/>
              <w:jc w:val="both"/>
              <w:rPr>
                <w:rFonts w:cstheme="minorHAnsi"/>
                <w:b/>
              </w:rPr>
            </w:pPr>
          </w:p>
          <w:p w:rsidR="00A455E7" w:rsidRPr="00707CA6" w:rsidRDefault="00A455E7" w:rsidP="009F7E68">
            <w:pPr>
              <w:pStyle w:val="ListParagraph"/>
              <w:numPr>
                <w:ilvl w:val="0"/>
                <w:numId w:val="9"/>
              </w:numPr>
              <w:tabs>
                <w:tab w:val="right" w:pos="2540"/>
              </w:tabs>
              <w:spacing w:before="120"/>
              <w:ind w:left="340" w:right="-16"/>
              <w:jc w:val="both"/>
              <w:rPr>
                <w:rFonts w:cstheme="minorHAnsi"/>
                <w:b/>
              </w:rPr>
            </w:pPr>
            <w:r w:rsidRPr="00707CA6">
              <w:rPr>
                <w:rFonts w:cstheme="minorHAnsi"/>
                <w:b/>
              </w:rPr>
              <w:t>Code of Conduct reviews</w:t>
            </w:r>
          </w:p>
          <w:p w:rsidR="00A455E7" w:rsidRPr="00751F1A" w:rsidRDefault="00A455E7" w:rsidP="00707CA6">
            <w:pPr>
              <w:pStyle w:val="ListParagraph"/>
              <w:tabs>
                <w:tab w:val="right" w:pos="2540"/>
              </w:tabs>
              <w:spacing w:before="120"/>
              <w:ind w:left="340" w:right="-16"/>
              <w:jc w:val="both"/>
              <w:rPr>
                <w:rFonts w:cstheme="minorHAnsi"/>
                <w:b/>
              </w:rPr>
            </w:pPr>
          </w:p>
          <w:p w:rsidR="00A455E7" w:rsidRPr="00707CA6" w:rsidRDefault="00A455E7" w:rsidP="009F7E68">
            <w:pPr>
              <w:pStyle w:val="ListParagraph"/>
              <w:numPr>
                <w:ilvl w:val="0"/>
                <w:numId w:val="9"/>
              </w:numPr>
              <w:tabs>
                <w:tab w:val="right" w:pos="2540"/>
              </w:tabs>
              <w:spacing w:before="120"/>
              <w:ind w:left="340" w:right="-16"/>
              <w:jc w:val="both"/>
              <w:rPr>
                <w:rFonts w:cstheme="minorHAnsi"/>
                <w:b/>
              </w:rPr>
            </w:pPr>
            <w:r w:rsidRPr="00707CA6">
              <w:rPr>
                <w:rFonts w:cstheme="minorHAnsi"/>
                <w:b/>
              </w:rPr>
              <w:t>Review of maximum remuneration fees for settlement agents</w:t>
            </w:r>
          </w:p>
          <w:p w:rsidR="00A455E7" w:rsidRPr="00751F1A" w:rsidRDefault="00A455E7" w:rsidP="00707CA6">
            <w:pPr>
              <w:pStyle w:val="ListParagraph"/>
              <w:tabs>
                <w:tab w:val="right" w:pos="2540"/>
              </w:tabs>
              <w:spacing w:before="120"/>
              <w:ind w:left="340" w:right="-16"/>
              <w:jc w:val="both"/>
              <w:rPr>
                <w:rFonts w:cstheme="minorHAnsi"/>
                <w:b/>
              </w:rPr>
            </w:pPr>
          </w:p>
          <w:p w:rsidR="00A455E7" w:rsidRPr="00707CA6" w:rsidRDefault="00A455E7" w:rsidP="009F7E68">
            <w:pPr>
              <w:pStyle w:val="ListParagraph"/>
              <w:numPr>
                <w:ilvl w:val="0"/>
                <w:numId w:val="9"/>
              </w:numPr>
              <w:tabs>
                <w:tab w:val="right" w:pos="2540"/>
              </w:tabs>
              <w:spacing w:before="120"/>
              <w:ind w:left="340" w:right="-16"/>
              <w:jc w:val="both"/>
              <w:rPr>
                <w:rFonts w:cstheme="minorHAnsi"/>
                <w:b/>
              </w:rPr>
            </w:pPr>
            <w:r w:rsidRPr="00707CA6">
              <w:rPr>
                <w:rFonts w:cstheme="minorHAnsi"/>
                <w:b/>
              </w:rPr>
              <w:t>Disbursement Costs</w:t>
            </w:r>
          </w:p>
          <w:p w:rsidR="00901581" w:rsidRPr="00F12751" w:rsidRDefault="00901581" w:rsidP="00901581">
            <w:pPr>
              <w:pStyle w:val="ListParagraph"/>
              <w:tabs>
                <w:tab w:val="right" w:pos="2540"/>
              </w:tabs>
              <w:spacing w:before="120"/>
              <w:ind w:left="340" w:right="-16" w:hanging="360"/>
              <w:jc w:val="both"/>
              <w:rPr>
                <w:rFonts w:cstheme="minorHAnsi"/>
                <w:b/>
              </w:rPr>
            </w:pPr>
          </w:p>
          <w:p w:rsidR="00901581" w:rsidRPr="00F12751" w:rsidRDefault="00901581" w:rsidP="00901581">
            <w:pPr>
              <w:pStyle w:val="ListParagraph"/>
              <w:numPr>
                <w:ilvl w:val="0"/>
                <w:numId w:val="9"/>
              </w:numPr>
              <w:tabs>
                <w:tab w:val="right" w:pos="2540"/>
              </w:tabs>
              <w:spacing w:before="120"/>
              <w:ind w:left="340" w:right="-16"/>
              <w:jc w:val="both"/>
              <w:rPr>
                <w:rFonts w:cstheme="minorHAnsi"/>
                <w:b/>
              </w:rPr>
            </w:pPr>
            <w:r w:rsidRPr="00F12751">
              <w:rPr>
                <w:rFonts w:cstheme="minorHAnsi"/>
                <w:b/>
              </w:rPr>
              <w:t>Insurance for settlement agents</w:t>
            </w:r>
          </w:p>
          <w:p w:rsidR="00901581" w:rsidRPr="00F12751" w:rsidRDefault="00901581" w:rsidP="00901581">
            <w:pPr>
              <w:pStyle w:val="ListParagraph"/>
              <w:spacing w:before="120"/>
              <w:ind w:left="340" w:hanging="360"/>
              <w:rPr>
                <w:rFonts w:cstheme="minorHAnsi"/>
                <w:b/>
              </w:rPr>
            </w:pPr>
          </w:p>
          <w:p w:rsidR="00901581" w:rsidRDefault="00901581" w:rsidP="00901581">
            <w:pPr>
              <w:tabs>
                <w:tab w:val="right" w:pos="2540"/>
              </w:tabs>
              <w:ind w:left="340" w:right="-17" w:hanging="360"/>
              <w:jc w:val="both"/>
              <w:rPr>
                <w:rFonts w:cstheme="minorHAnsi"/>
                <w:b/>
              </w:rPr>
            </w:pPr>
            <w:r w:rsidRPr="00F12751">
              <w:rPr>
                <w:rFonts w:cstheme="minorHAnsi"/>
                <w:b/>
              </w:rPr>
              <w:t xml:space="preserve"> 7) Proactive Compliance visits</w:t>
            </w:r>
          </w:p>
          <w:p w:rsidR="00901581" w:rsidRPr="00F12751" w:rsidRDefault="00901581" w:rsidP="00901581">
            <w:pPr>
              <w:tabs>
                <w:tab w:val="right" w:pos="2540"/>
              </w:tabs>
              <w:ind w:left="340" w:right="-17" w:hanging="360"/>
              <w:jc w:val="both"/>
              <w:rPr>
                <w:rFonts w:cstheme="minorHAnsi"/>
                <w:b/>
              </w:rPr>
            </w:pPr>
          </w:p>
          <w:p w:rsidR="00B165DC" w:rsidRPr="00707CA6" w:rsidRDefault="00901581" w:rsidP="00901581">
            <w:pPr>
              <w:pStyle w:val="ListParagraph"/>
              <w:numPr>
                <w:ilvl w:val="0"/>
                <w:numId w:val="9"/>
              </w:numPr>
              <w:tabs>
                <w:tab w:val="right" w:pos="2540"/>
              </w:tabs>
              <w:spacing w:before="120" w:after="120"/>
              <w:ind w:left="340" w:right="-16"/>
              <w:jc w:val="both"/>
              <w:rPr>
                <w:rFonts w:cstheme="minorHAnsi"/>
                <w:b/>
              </w:rPr>
            </w:pPr>
            <w:r w:rsidRPr="00F12751">
              <w:rPr>
                <w:rFonts w:cstheme="minorHAnsi"/>
                <w:b/>
              </w:rPr>
              <w:t>8) Are you settling the sale of an owner-built property?</w:t>
            </w:r>
          </w:p>
        </w:tc>
        <w:tc>
          <w:tcPr>
            <w:tcW w:w="9824" w:type="dxa"/>
          </w:tcPr>
          <w:p w:rsidR="00842B1D" w:rsidRPr="005D2D78" w:rsidRDefault="00A455E7" w:rsidP="00C06515">
            <w:pPr>
              <w:spacing w:before="120" w:after="120"/>
              <w:ind w:left="376" w:hanging="376"/>
              <w:jc w:val="both"/>
              <w:rPr>
                <w:rFonts w:ascii="Arial" w:hAnsi="Arial" w:cs="Arial"/>
                <w:sz w:val="20"/>
                <w:szCs w:val="20"/>
              </w:rPr>
            </w:pPr>
            <w:r w:rsidRPr="00A455E7">
              <w:rPr>
                <w:rFonts w:cstheme="minorHAnsi"/>
              </w:rPr>
              <w:t>1)</w:t>
            </w:r>
            <w:r w:rsidRPr="005D2D78">
              <w:rPr>
                <w:rFonts w:ascii="Arial" w:hAnsi="Arial" w:cs="Arial"/>
                <w:sz w:val="20"/>
                <w:szCs w:val="20"/>
              </w:rPr>
              <w:tab/>
              <w:t>Based on industry feedback and after its own internal investigations, Consumer Protection has decided to discontinue the use of Australia Post for the lodgement of renewal applications.</w:t>
            </w:r>
          </w:p>
          <w:p w:rsidR="00842B1D" w:rsidRDefault="005D2D78" w:rsidP="009F7E68">
            <w:pPr>
              <w:pStyle w:val="ListParagraph"/>
              <w:numPr>
                <w:ilvl w:val="0"/>
                <w:numId w:val="10"/>
              </w:numPr>
              <w:spacing w:before="120" w:after="120"/>
              <w:ind w:left="376"/>
              <w:jc w:val="both"/>
              <w:rPr>
                <w:rFonts w:ascii="Arial" w:hAnsi="Arial" w:cs="Arial"/>
                <w:sz w:val="20"/>
                <w:szCs w:val="20"/>
              </w:rPr>
            </w:pPr>
            <w:r w:rsidRPr="005D2D78">
              <w:rPr>
                <w:rFonts w:ascii="Arial" w:hAnsi="Arial" w:cs="Arial"/>
                <w:sz w:val="20"/>
                <w:szCs w:val="20"/>
              </w:rPr>
              <w:t xml:space="preserve">Consumer Protection has commenced a review of the property industry codes of conduct and will shortly release a Discussion Paper for comment.  The review will cover the Settlement Agents’ Code of Conduct 1982 (made under the </w:t>
            </w:r>
            <w:r w:rsidRPr="005D2D78">
              <w:rPr>
                <w:rFonts w:ascii="Arial" w:hAnsi="Arial" w:cs="Arial"/>
                <w:i/>
                <w:iCs/>
                <w:sz w:val="20"/>
                <w:szCs w:val="20"/>
              </w:rPr>
              <w:t>Settlement Agents Act 1981</w:t>
            </w:r>
            <w:r w:rsidRPr="005D2D78">
              <w:rPr>
                <w:rFonts w:ascii="Arial" w:hAnsi="Arial" w:cs="Arial"/>
                <w:sz w:val="20"/>
                <w:szCs w:val="20"/>
              </w:rPr>
              <w:t xml:space="preserve">), the Code of Conduct for Agents and Sales Representatives 2011 (made under the </w:t>
            </w:r>
            <w:r w:rsidRPr="005D2D78">
              <w:rPr>
                <w:rFonts w:ascii="Arial" w:hAnsi="Arial" w:cs="Arial"/>
                <w:i/>
                <w:iCs/>
                <w:sz w:val="20"/>
                <w:szCs w:val="20"/>
              </w:rPr>
              <w:t>Real Estate and Business Agents Act 1978</w:t>
            </w:r>
            <w:r w:rsidRPr="005D2D78">
              <w:rPr>
                <w:rFonts w:ascii="Arial" w:hAnsi="Arial" w:cs="Arial"/>
                <w:sz w:val="20"/>
                <w:szCs w:val="20"/>
              </w:rPr>
              <w:t xml:space="preserve">) and the Licensed Valuers Code of Conduct (made under the </w:t>
            </w:r>
            <w:r w:rsidRPr="005D2D78">
              <w:rPr>
                <w:rFonts w:ascii="Arial" w:hAnsi="Arial" w:cs="Arial"/>
                <w:i/>
                <w:iCs/>
                <w:sz w:val="20"/>
                <w:szCs w:val="20"/>
              </w:rPr>
              <w:t>Land Valuers Licensing Act 1978</w:t>
            </w:r>
            <w:r w:rsidRPr="005D2D78">
              <w:rPr>
                <w:rFonts w:ascii="Arial" w:hAnsi="Arial" w:cs="Arial"/>
                <w:sz w:val="20"/>
                <w:szCs w:val="20"/>
              </w:rPr>
              <w:t>) (the Codes</w:t>
            </w:r>
            <w:r w:rsidRPr="005D2D78">
              <w:rPr>
                <w:rFonts w:ascii="Arial" w:hAnsi="Arial" w:cs="Arial"/>
                <w:b/>
                <w:sz w:val="20"/>
                <w:szCs w:val="20"/>
              </w:rPr>
              <w:t>).</w:t>
            </w:r>
            <w:r w:rsidRPr="005D2D78">
              <w:rPr>
                <w:rFonts w:ascii="Arial" w:hAnsi="Arial" w:cs="Arial"/>
                <w:sz w:val="20"/>
                <w:szCs w:val="20"/>
              </w:rPr>
              <w:t xml:space="preserve"> </w:t>
            </w:r>
          </w:p>
          <w:p w:rsidR="005D2D78" w:rsidRPr="005D2D78" w:rsidRDefault="005D2D78" w:rsidP="00C06515">
            <w:pPr>
              <w:pStyle w:val="ListParagraph"/>
              <w:spacing w:before="120" w:after="120"/>
              <w:ind w:left="376"/>
              <w:jc w:val="both"/>
              <w:rPr>
                <w:rFonts w:ascii="Arial" w:hAnsi="Arial" w:cs="Arial"/>
                <w:sz w:val="20"/>
                <w:szCs w:val="20"/>
              </w:rPr>
            </w:pPr>
          </w:p>
          <w:p w:rsidR="00842B1D" w:rsidRDefault="005D2D78" w:rsidP="009F7E68">
            <w:pPr>
              <w:pStyle w:val="ListParagraph"/>
              <w:numPr>
                <w:ilvl w:val="0"/>
                <w:numId w:val="10"/>
              </w:numPr>
              <w:autoSpaceDE w:val="0"/>
              <w:autoSpaceDN w:val="0"/>
              <w:adjustRightInd w:val="0"/>
              <w:ind w:left="376"/>
              <w:jc w:val="both"/>
              <w:rPr>
                <w:rFonts w:ascii="Arial" w:hAnsi="Arial" w:cs="Arial"/>
                <w:color w:val="545255"/>
                <w:sz w:val="20"/>
                <w:szCs w:val="20"/>
              </w:rPr>
            </w:pPr>
            <w:r w:rsidRPr="005D2D78">
              <w:rPr>
                <w:rFonts w:ascii="Arial" w:hAnsi="Arial" w:cs="Arial"/>
                <w:color w:val="545255"/>
                <w:sz w:val="20"/>
                <w:szCs w:val="20"/>
              </w:rPr>
              <w:t>Consumer Protection is currently reviewing whether the settlement industry’s maximum remuneration fees need to be increased. The fees have not been increased since 6 May 2008.  If the review finds that fee increases are warranted, they are likely to be based on the Consumer Price Index to compensate for inflation.</w:t>
            </w:r>
          </w:p>
          <w:p w:rsidR="005D2D78" w:rsidRPr="005D2D78" w:rsidRDefault="005D2D78" w:rsidP="00C06515">
            <w:pPr>
              <w:pStyle w:val="ListParagraph"/>
              <w:jc w:val="both"/>
              <w:rPr>
                <w:rFonts w:ascii="Arial" w:hAnsi="Arial" w:cs="Arial"/>
                <w:color w:val="545255"/>
                <w:sz w:val="20"/>
                <w:szCs w:val="20"/>
              </w:rPr>
            </w:pPr>
          </w:p>
          <w:p w:rsidR="005D2D78" w:rsidRPr="005D2D78" w:rsidRDefault="005D2D78" w:rsidP="009F7E68">
            <w:pPr>
              <w:pStyle w:val="ListParagraph"/>
              <w:numPr>
                <w:ilvl w:val="0"/>
                <w:numId w:val="10"/>
              </w:numPr>
              <w:autoSpaceDE w:val="0"/>
              <w:autoSpaceDN w:val="0"/>
              <w:adjustRightInd w:val="0"/>
              <w:ind w:left="376"/>
              <w:jc w:val="both"/>
              <w:rPr>
                <w:rFonts w:ascii="Arial" w:hAnsi="Arial" w:cs="Arial"/>
                <w:color w:val="545255"/>
                <w:sz w:val="20"/>
                <w:szCs w:val="20"/>
              </w:rPr>
            </w:pPr>
            <w:r w:rsidRPr="005D2D78">
              <w:rPr>
                <w:rFonts w:ascii="Arial" w:hAnsi="Arial" w:cs="Arial"/>
                <w:sz w:val="20"/>
                <w:szCs w:val="20"/>
              </w:rPr>
              <w:t>Settlement agents may often seek to recover disbursement costs incurred in the course of a settlement from their clients.</w:t>
            </w:r>
          </w:p>
          <w:p w:rsidR="005D2D78" w:rsidRPr="005D2D78" w:rsidRDefault="005D2D78" w:rsidP="00C06515">
            <w:pPr>
              <w:pStyle w:val="ListParagraph"/>
              <w:jc w:val="both"/>
              <w:rPr>
                <w:rFonts w:ascii="Arial" w:hAnsi="Arial" w:cs="Arial"/>
                <w:color w:val="545255"/>
                <w:sz w:val="20"/>
                <w:szCs w:val="20"/>
              </w:rPr>
            </w:pPr>
          </w:p>
          <w:p w:rsidR="00842B1D" w:rsidRDefault="005D2D78" w:rsidP="009F7E68">
            <w:pPr>
              <w:pStyle w:val="ListParagraph"/>
              <w:numPr>
                <w:ilvl w:val="0"/>
                <w:numId w:val="10"/>
              </w:numPr>
              <w:autoSpaceDE w:val="0"/>
              <w:autoSpaceDN w:val="0"/>
              <w:adjustRightInd w:val="0"/>
              <w:ind w:left="376"/>
              <w:jc w:val="both"/>
              <w:rPr>
                <w:rFonts w:ascii="Arial" w:hAnsi="Arial" w:cs="Arial"/>
                <w:color w:val="545255"/>
                <w:sz w:val="20"/>
                <w:szCs w:val="20"/>
              </w:rPr>
            </w:pPr>
            <w:r w:rsidRPr="00C06515">
              <w:rPr>
                <w:rFonts w:ascii="Arial" w:hAnsi="Arial" w:cs="Arial"/>
                <w:i/>
                <w:iCs/>
                <w:color w:val="545255"/>
                <w:sz w:val="20"/>
                <w:szCs w:val="20"/>
              </w:rPr>
              <w:t>Settlement Agents Act 1981 r</w:t>
            </w:r>
            <w:r w:rsidRPr="00C06515">
              <w:rPr>
                <w:rFonts w:ascii="Arial" w:hAnsi="Arial" w:cs="Arial"/>
                <w:color w:val="545255"/>
                <w:sz w:val="20"/>
                <w:szCs w:val="20"/>
              </w:rPr>
              <w:t>equires agents who carry on business to hold both professional indemnity and fidelity insurance. Jardine Lloyd Thompson (JLT) are the appointed brokers to the Settlement Agents’ Master Policy Scheme (the Policy) for professional indemnity and fidelity insurance.</w:t>
            </w:r>
          </w:p>
          <w:p w:rsidR="00C06515" w:rsidRPr="00C06515" w:rsidRDefault="00C06515" w:rsidP="00C06515">
            <w:pPr>
              <w:pStyle w:val="ListParagraph"/>
              <w:jc w:val="both"/>
              <w:rPr>
                <w:rFonts w:ascii="Arial" w:hAnsi="Arial" w:cs="Arial"/>
                <w:color w:val="545255"/>
                <w:sz w:val="20"/>
                <w:szCs w:val="20"/>
              </w:rPr>
            </w:pPr>
          </w:p>
          <w:p w:rsidR="00C06515" w:rsidRDefault="0018296B" w:rsidP="0018296B">
            <w:pPr>
              <w:autoSpaceDE w:val="0"/>
              <w:autoSpaceDN w:val="0"/>
              <w:adjustRightInd w:val="0"/>
              <w:spacing w:after="120"/>
              <w:ind w:left="376" w:hanging="357"/>
              <w:jc w:val="both"/>
              <w:rPr>
                <w:rFonts w:ascii="Arial" w:hAnsi="Arial" w:cs="Arial"/>
                <w:color w:val="545255"/>
                <w:sz w:val="20"/>
                <w:szCs w:val="20"/>
              </w:rPr>
            </w:pPr>
            <w:r>
              <w:rPr>
                <w:rFonts w:ascii="Arial" w:hAnsi="Arial" w:cs="Arial"/>
                <w:color w:val="545255"/>
                <w:sz w:val="20"/>
                <w:szCs w:val="20"/>
              </w:rPr>
              <w:t xml:space="preserve">7)  </w:t>
            </w:r>
            <w:r w:rsidR="00C06515" w:rsidRPr="000F050A">
              <w:rPr>
                <w:rFonts w:ascii="Arial" w:hAnsi="Arial" w:cs="Arial"/>
                <w:color w:val="545255"/>
                <w:sz w:val="20"/>
                <w:szCs w:val="20"/>
              </w:rPr>
              <w:t>Proactive Compliance is to assist agents in complying with legislative requirements, to identify and rectify areas of risk and provide advice to agents. This is achieved through voluntary agency visits and industry seminars.</w:t>
            </w:r>
          </w:p>
          <w:p w:rsidR="00C06515" w:rsidRPr="00C06515" w:rsidRDefault="0018296B" w:rsidP="004251D5">
            <w:pPr>
              <w:autoSpaceDE w:val="0"/>
              <w:autoSpaceDN w:val="0"/>
              <w:adjustRightInd w:val="0"/>
              <w:spacing w:after="120"/>
              <w:ind w:left="376" w:hanging="357"/>
              <w:jc w:val="both"/>
              <w:rPr>
                <w:rFonts w:ascii="Arial" w:hAnsi="Arial" w:cs="Arial"/>
                <w:color w:val="545255"/>
                <w:sz w:val="20"/>
                <w:szCs w:val="20"/>
              </w:rPr>
            </w:pPr>
            <w:r>
              <w:rPr>
                <w:rFonts w:ascii="Arial" w:hAnsi="Arial" w:cs="Arial"/>
                <w:color w:val="545255"/>
                <w:sz w:val="20"/>
                <w:szCs w:val="20"/>
              </w:rPr>
              <w:t xml:space="preserve">8)  </w:t>
            </w:r>
            <w:r w:rsidR="00C06515" w:rsidRPr="000F050A">
              <w:rPr>
                <w:rFonts w:ascii="Arial" w:hAnsi="Arial" w:cs="Arial"/>
                <w:color w:val="545255"/>
                <w:sz w:val="20"/>
                <w:szCs w:val="20"/>
              </w:rPr>
              <w:t>The owner-builder market has expanded in recent years and this is reflected in the number of owner-built homes being sold.</w:t>
            </w:r>
          </w:p>
        </w:tc>
      </w:tr>
    </w:tbl>
    <w:p w:rsidR="004251D5" w:rsidRDefault="004251D5"/>
    <w:p w:rsidR="004251D5" w:rsidRDefault="004251D5"/>
    <w:p w:rsidR="00B75B07" w:rsidRDefault="00B75B07"/>
    <w:p w:rsidR="00B75B07" w:rsidRDefault="00B75B07"/>
    <w:p w:rsidR="00B75B07" w:rsidRDefault="00B75B07"/>
    <w:p w:rsidR="00B75B07" w:rsidRDefault="00B75B07"/>
    <w:p w:rsidR="00B75B07" w:rsidRDefault="00B75B07"/>
    <w:p w:rsidR="00B75B07" w:rsidRDefault="00B75B07" w:rsidP="00B75B07">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B75B07" w:rsidTr="00164B2D">
        <w:tc>
          <w:tcPr>
            <w:tcW w:w="1361" w:type="dxa"/>
            <w:shd w:val="clear" w:color="auto" w:fill="D9D9D9" w:themeFill="background1" w:themeFillShade="D9"/>
          </w:tcPr>
          <w:p w:rsidR="00B75B07" w:rsidRPr="0025137B" w:rsidRDefault="00B75B07" w:rsidP="00164B2D">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B75B07" w:rsidRPr="0025137B" w:rsidRDefault="00B75B07" w:rsidP="00164B2D">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B75B07" w:rsidRPr="0025137B" w:rsidRDefault="00B75B07" w:rsidP="00164B2D">
            <w:pPr>
              <w:spacing w:before="60" w:after="60"/>
              <w:rPr>
                <w:b/>
                <w:sz w:val="24"/>
                <w:szCs w:val="24"/>
              </w:rPr>
            </w:pPr>
            <w:r w:rsidRPr="0025137B">
              <w:rPr>
                <w:b/>
                <w:sz w:val="24"/>
                <w:szCs w:val="24"/>
              </w:rPr>
              <w:t>CONTENT SUMMARY</w:t>
            </w:r>
          </w:p>
        </w:tc>
      </w:tr>
      <w:tr w:rsidR="00A455E7" w:rsidTr="00B165DC">
        <w:tc>
          <w:tcPr>
            <w:tcW w:w="1361" w:type="dxa"/>
          </w:tcPr>
          <w:p w:rsidR="00FF24C6" w:rsidRPr="0025137B" w:rsidRDefault="00FF24C6" w:rsidP="00FF24C6">
            <w:pPr>
              <w:spacing w:before="120" w:after="120"/>
              <w:jc w:val="both"/>
            </w:pPr>
            <w:r>
              <w:rPr>
                <w:b/>
                <w:bCs/>
              </w:rPr>
              <w:t>Autumn 2012</w:t>
            </w:r>
          </w:p>
          <w:p w:rsidR="00FF24C6" w:rsidRDefault="00FF24C6" w:rsidP="00FF24C6">
            <w:pPr>
              <w:spacing w:before="120"/>
              <w:jc w:val="both"/>
              <w:rPr>
                <w:b/>
                <w:bCs/>
              </w:rPr>
            </w:pPr>
            <w:r>
              <w:rPr>
                <w:b/>
                <w:bCs/>
              </w:rPr>
              <w:t>No. 3</w:t>
            </w:r>
          </w:p>
          <w:p w:rsidR="00A455E7" w:rsidRDefault="00A455E7" w:rsidP="0018296B">
            <w:pPr>
              <w:spacing w:before="120"/>
              <w:jc w:val="both"/>
            </w:pPr>
          </w:p>
        </w:tc>
        <w:tc>
          <w:tcPr>
            <w:tcW w:w="3792" w:type="dxa"/>
          </w:tcPr>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New policy to counter title fraud</w:t>
            </w:r>
          </w:p>
          <w:p w:rsidR="004251D5" w:rsidRPr="0018296B" w:rsidRDefault="004251D5" w:rsidP="004251D5">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Caveat (Improper Dealings</w:t>
            </w:r>
            <w:r>
              <w:rPr>
                <w:rFonts w:cstheme="minorHAnsi"/>
                <w:b/>
              </w:rPr>
              <w:t>)</w:t>
            </w:r>
          </w:p>
          <w:p w:rsidR="004251D5" w:rsidRDefault="004251D5" w:rsidP="004251D5">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Person in bona fide control taking leave</w:t>
            </w:r>
          </w:p>
          <w:p w:rsidR="004251D5" w:rsidRPr="0018296B" w:rsidRDefault="004251D5" w:rsidP="004251D5">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Termination audits</w:t>
            </w:r>
          </w:p>
          <w:p w:rsidR="004251D5" w:rsidRPr="0018296B" w:rsidRDefault="004251D5" w:rsidP="004251D5">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Proactive compliance visits</w:t>
            </w:r>
          </w:p>
          <w:p w:rsidR="004251D5" w:rsidRPr="004251D5" w:rsidRDefault="004251D5" w:rsidP="004251D5">
            <w:pPr>
              <w:pStyle w:val="ListParagrap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Additional documents settlement</w:t>
            </w:r>
            <w:r>
              <w:rPr>
                <w:rFonts w:cstheme="minorHAnsi"/>
                <w:b/>
              </w:rPr>
              <w:t xml:space="preserve"> a</w:t>
            </w:r>
            <w:r w:rsidRPr="0018296B">
              <w:rPr>
                <w:rFonts w:cstheme="minorHAnsi"/>
                <w:b/>
              </w:rPr>
              <w:t>gents can prepare</w:t>
            </w:r>
          </w:p>
          <w:p w:rsidR="004251D5" w:rsidRPr="0018296B" w:rsidRDefault="004251D5" w:rsidP="00B75B07">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Dispute resolution service</w:t>
            </w:r>
          </w:p>
          <w:p w:rsidR="004251D5" w:rsidRPr="0018296B" w:rsidRDefault="004251D5" w:rsidP="00B75B07">
            <w:pPr>
              <w:pStyle w:val="ListParagraph"/>
              <w:tabs>
                <w:tab w:val="right" w:pos="2540"/>
              </w:tabs>
              <w:spacing w:before="120"/>
              <w:ind w:left="340" w:right="-16"/>
              <w:jc w:val="both"/>
              <w:rPr>
                <w:rFonts w:cstheme="minorHAnsi"/>
                <w:b/>
              </w:rPr>
            </w:pPr>
          </w:p>
          <w:p w:rsidR="0018296B" w:rsidRDefault="0018296B" w:rsidP="009F7E68">
            <w:pPr>
              <w:pStyle w:val="ListParagraph"/>
              <w:numPr>
                <w:ilvl w:val="0"/>
                <w:numId w:val="11"/>
              </w:numPr>
              <w:tabs>
                <w:tab w:val="right" w:pos="2540"/>
              </w:tabs>
              <w:spacing w:before="120"/>
              <w:ind w:left="340" w:right="-16"/>
              <w:jc w:val="both"/>
              <w:rPr>
                <w:rFonts w:cstheme="minorHAnsi"/>
                <w:b/>
              </w:rPr>
            </w:pPr>
            <w:r w:rsidRPr="0018296B">
              <w:rPr>
                <w:rFonts w:cstheme="minorHAnsi"/>
                <w:b/>
              </w:rPr>
              <w:t>The Contaminated Sites Act 2003</w:t>
            </w:r>
            <w:r>
              <w:rPr>
                <w:rFonts w:cstheme="minorHAnsi"/>
                <w:b/>
              </w:rPr>
              <w:t xml:space="preserve"> </w:t>
            </w:r>
            <w:r w:rsidRPr="0018296B">
              <w:rPr>
                <w:rFonts w:cstheme="minorHAnsi"/>
                <w:b/>
              </w:rPr>
              <w:t>and real estate in WA</w:t>
            </w:r>
          </w:p>
          <w:p w:rsidR="004251D5" w:rsidRPr="0018296B" w:rsidRDefault="004251D5" w:rsidP="00B75B07">
            <w:pPr>
              <w:pStyle w:val="ListParagraph"/>
              <w:tabs>
                <w:tab w:val="right" w:pos="2540"/>
              </w:tabs>
              <w:spacing w:before="120"/>
              <w:ind w:left="340" w:right="-16"/>
              <w:jc w:val="both"/>
              <w:rPr>
                <w:rFonts w:cstheme="minorHAnsi"/>
                <w:b/>
              </w:rPr>
            </w:pPr>
          </w:p>
          <w:p w:rsidR="00A455E7" w:rsidRPr="000A5F9A" w:rsidRDefault="0018296B" w:rsidP="009F7E68">
            <w:pPr>
              <w:pStyle w:val="ListParagraph"/>
              <w:numPr>
                <w:ilvl w:val="0"/>
                <w:numId w:val="11"/>
              </w:numPr>
              <w:tabs>
                <w:tab w:val="right" w:pos="2540"/>
              </w:tabs>
              <w:spacing w:before="120"/>
              <w:ind w:left="340" w:right="-16"/>
              <w:jc w:val="both"/>
              <w:rPr>
                <w:rFonts w:cstheme="minorHAnsi"/>
                <w:b/>
                <w:strike/>
              </w:rPr>
            </w:pPr>
            <w:r w:rsidRPr="000A5F9A">
              <w:rPr>
                <w:rFonts w:cstheme="minorHAnsi"/>
                <w:b/>
                <w:strike/>
              </w:rPr>
              <w:t>Easier access to</w:t>
            </w:r>
            <w:r w:rsidR="000A5F9A">
              <w:rPr>
                <w:rFonts w:cstheme="minorHAnsi"/>
                <w:b/>
                <w:strike/>
              </w:rPr>
              <w:t xml:space="preserve">                          </w:t>
            </w:r>
            <w:r w:rsidRPr="000A5F9A">
              <w:rPr>
                <w:rFonts w:cstheme="minorHAnsi"/>
                <w:b/>
                <w:strike/>
              </w:rPr>
              <w:t xml:space="preserve"> Commerce web addresses</w:t>
            </w:r>
          </w:p>
        </w:tc>
        <w:tc>
          <w:tcPr>
            <w:tcW w:w="9824" w:type="dxa"/>
          </w:tcPr>
          <w:p w:rsidR="004251D5" w:rsidRPr="004251D5" w:rsidRDefault="004251D5" w:rsidP="004251D5">
            <w:pPr>
              <w:pStyle w:val="ListParagraph"/>
              <w:ind w:left="376"/>
              <w:jc w:val="both"/>
              <w:rPr>
                <w:rFonts w:cstheme="minorHAnsi"/>
                <w:sz w:val="16"/>
                <w:szCs w:val="16"/>
              </w:rPr>
            </w:pPr>
          </w:p>
          <w:p w:rsidR="00713EE5" w:rsidRPr="00B05175" w:rsidRDefault="00713EE5" w:rsidP="009F7E68">
            <w:pPr>
              <w:pStyle w:val="ListParagraph"/>
              <w:numPr>
                <w:ilvl w:val="0"/>
                <w:numId w:val="12"/>
              </w:numPr>
              <w:spacing w:before="100" w:beforeAutospacing="1" w:after="120"/>
              <w:ind w:left="376"/>
              <w:jc w:val="both"/>
              <w:rPr>
                <w:rFonts w:ascii="Arial" w:hAnsi="Arial" w:cs="Arial"/>
                <w:sz w:val="20"/>
                <w:szCs w:val="20"/>
              </w:rPr>
            </w:pPr>
            <w:r w:rsidRPr="00B05175">
              <w:rPr>
                <w:rFonts w:ascii="Arial" w:hAnsi="Arial" w:cs="Arial"/>
                <w:sz w:val="20"/>
                <w:szCs w:val="20"/>
              </w:rPr>
              <w:t>A new policy aimed at reducing the incidence of land title fraud and other improper dealings in Western Australia is currently being drafted by Landgate following industry submissions.</w:t>
            </w:r>
          </w:p>
          <w:p w:rsidR="004251D5" w:rsidRPr="00B05175" w:rsidRDefault="004251D5" w:rsidP="000A5F9A">
            <w:pPr>
              <w:pStyle w:val="ListParagraph"/>
              <w:spacing w:before="120" w:after="120"/>
              <w:ind w:left="376"/>
              <w:jc w:val="both"/>
              <w:rPr>
                <w:rFonts w:ascii="Arial" w:hAnsi="Arial" w:cs="Arial"/>
                <w:sz w:val="20"/>
                <w:szCs w:val="20"/>
              </w:rPr>
            </w:pPr>
          </w:p>
          <w:p w:rsidR="00713EE5" w:rsidRPr="000A5F9A" w:rsidRDefault="00713EE5" w:rsidP="009F7E68">
            <w:pPr>
              <w:pStyle w:val="ListParagraph"/>
              <w:numPr>
                <w:ilvl w:val="0"/>
                <w:numId w:val="12"/>
              </w:numPr>
              <w:spacing w:after="120"/>
              <w:ind w:left="376"/>
              <w:jc w:val="both"/>
              <w:rPr>
                <w:rFonts w:ascii="Arial" w:hAnsi="Arial" w:cs="Arial"/>
                <w:sz w:val="20"/>
                <w:szCs w:val="20"/>
              </w:rPr>
            </w:pPr>
            <w:r w:rsidRPr="000A5F9A">
              <w:rPr>
                <w:rFonts w:ascii="Arial" w:hAnsi="Arial" w:cs="Arial"/>
                <w:sz w:val="20"/>
                <w:szCs w:val="20"/>
              </w:rPr>
              <w:t>Landgate recently introduced a new form of caveat in order to minimise the risk of land title fraud. The purpose of the Caveat (Improper Dealings) is to stop the registration of any instruments or documents that would ordinarily need to be signed by the owner, such as, an instrument to transfer the title of a property.</w:t>
            </w:r>
          </w:p>
          <w:p w:rsidR="004251D5" w:rsidRPr="000A5F9A" w:rsidRDefault="004251D5" w:rsidP="000A5F9A">
            <w:pPr>
              <w:pStyle w:val="ListParagraph"/>
              <w:spacing w:after="120"/>
              <w:ind w:left="376"/>
              <w:jc w:val="both"/>
              <w:rPr>
                <w:rFonts w:ascii="Arial" w:hAnsi="Arial" w:cs="Arial"/>
                <w:sz w:val="20"/>
                <w:szCs w:val="20"/>
              </w:rPr>
            </w:pPr>
          </w:p>
          <w:p w:rsidR="00B05175" w:rsidRPr="000A5F9A" w:rsidRDefault="00B05175" w:rsidP="009F7E68">
            <w:pPr>
              <w:pStyle w:val="ListParagraph"/>
              <w:numPr>
                <w:ilvl w:val="0"/>
                <w:numId w:val="12"/>
              </w:numPr>
              <w:spacing w:after="120"/>
              <w:ind w:left="376"/>
              <w:jc w:val="both"/>
              <w:rPr>
                <w:rFonts w:ascii="Arial" w:hAnsi="Arial" w:cs="Arial"/>
                <w:sz w:val="20"/>
                <w:szCs w:val="20"/>
              </w:rPr>
            </w:pPr>
            <w:r w:rsidRPr="000A5F9A">
              <w:rPr>
                <w:rFonts w:ascii="Arial" w:hAnsi="Arial" w:cs="Arial"/>
                <w:sz w:val="20"/>
                <w:szCs w:val="20"/>
              </w:rPr>
              <w:t xml:space="preserve">Consumer Protection reminds agents in </w:t>
            </w:r>
            <w:r w:rsidRPr="000A5F9A">
              <w:rPr>
                <w:rFonts w:ascii="Arial" w:hAnsi="Arial" w:cs="Arial"/>
                <w:i/>
                <w:iCs/>
                <w:sz w:val="20"/>
                <w:szCs w:val="20"/>
              </w:rPr>
              <w:t xml:space="preserve">bona fide </w:t>
            </w:r>
            <w:r w:rsidRPr="000A5F9A">
              <w:rPr>
                <w:rFonts w:ascii="Arial" w:hAnsi="Arial" w:cs="Arial"/>
                <w:sz w:val="20"/>
                <w:szCs w:val="20"/>
              </w:rPr>
              <w:t>control of a settlement agency that they must obtain written approval from the Commissioner before being absent from the business for more than four continuous weeks in a calendar year.</w:t>
            </w:r>
          </w:p>
          <w:p w:rsidR="00B05175" w:rsidRPr="000A5F9A" w:rsidRDefault="00B05175" w:rsidP="000A5F9A">
            <w:pPr>
              <w:pStyle w:val="ListParagraph"/>
              <w:spacing w:after="120"/>
              <w:ind w:left="376"/>
              <w:jc w:val="both"/>
              <w:rPr>
                <w:rFonts w:ascii="Arial" w:hAnsi="Arial" w:cs="Arial"/>
                <w:sz w:val="20"/>
                <w:szCs w:val="20"/>
              </w:rPr>
            </w:pPr>
          </w:p>
          <w:p w:rsidR="004251D5" w:rsidRPr="000A5F9A" w:rsidRDefault="00B05175" w:rsidP="009F7E68">
            <w:pPr>
              <w:pStyle w:val="ListParagraph"/>
              <w:numPr>
                <w:ilvl w:val="0"/>
                <w:numId w:val="12"/>
              </w:numPr>
              <w:spacing w:after="120"/>
              <w:ind w:left="376"/>
              <w:jc w:val="both"/>
              <w:rPr>
                <w:rFonts w:ascii="Arial" w:hAnsi="Arial" w:cs="Arial"/>
                <w:sz w:val="20"/>
                <w:szCs w:val="20"/>
              </w:rPr>
            </w:pPr>
            <w:r w:rsidRPr="000A5F9A">
              <w:rPr>
                <w:rFonts w:ascii="Arial" w:hAnsi="Arial" w:cs="Arial"/>
                <w:sz w:val="20"/>
                <w:szCs w:val="20"/>
              </w:rPr>
              <w:t>Section 51 of the Settlement Agents Act 1981 (“the Act”) provides that every agent must have a termination audit of their trust accounts arranged and conducted within three months of a triennial certificate ceasing to have effect.</w:t>
            </w:r>
          </w:p>
          <w:p w:rsidR="00B05175" w:rsidRPr="000A5F9A" w:rsidRDefault="00B05175" w:rsidP="000A5F9A">
            <w:pPr>
              <w:pStyle w:val="ListParagraph"/>
              <w:ind w:left="376"/>
              <w:jc w:val="both"/>
              <w:rPr>
                <w:rFonts w:ascii="Arial" w:hAnsi="Arial" w:cs="Arial"/>
                <w:sz w:val="20"/>
                <w:szCs w:val="20"/>
              </w:rPr>
            </w:pPr>
          </w:p>
          <w:p w:rsidR="00B05175" w:rsidRPr="000A5F9A" w:rsidRDefault="00B05175" w:rsidP="009F7E68">
            <w:pPr>
              <w:pStyle w:val="ListParagraph"/>
              <w:numPr>
                <w:ilvl w:val="0"/>
                <w:numId w:val="12"/>
              </w:numPr>
              <w:autoSpaceDE w:val="0"/>
              <w:autoSpaceDN w:val="0"/>
              <w:adjustRightInd w:val="0"/>
              <w:ind w:left="376"/>
              <w:jc w:val="both"/>
              <w:rPr>
                <w:rFonts w:ascii="Arial" w:hAnsi="Arial" w:cs="Arial"/>
                <w:sz w:val="20"/>
                <w:szCs w:val="20"/>
              </w:rPr>
            </w:pPr>
            <w:r w:rsidRPr="000A5F9A">
              <w:rPr>
                <w:rFonts w:ascii="Arial" w:hAnsi="Arial" w:cs="Arial"/>
                <w:sz w:val="20"/>
                <w:szCs w:val="20"/>
              </w:rPr>
              <w:t>Following recent feedback from industry members, Consumer Protection would like to take this opportunity to re-emphasise the goals and objectives of proactive compliance visits.</w:t>
            </w:r>
          </w:p>
          <w:p w:rsidR="00B05175" w:rsidRPr="000A5F9A" w:rsidRDefault="00B05175" w:rsidP="000A5F9A">
            <w:pPr>
              <w:pStyle w:val="ListParagraph"/>
              <w:jc w:val="both"/>
              <w:rPr>
                <w:rFonts w:ascii="Arial" w:hAnsi="Arial" w:cs="Arial"/>
                <w:sz w:val="20"/>
                <w:szCs w:val="20"/>
              </w:rPr>
            </w:pPr>
          </w:p>
          <w:p w:rsidR="00B05175" w:rsidRPr="000A5F9A" w:rsidRDefault="00B05175" w:rsidP="009F7E68">
            <w:pPr>
              <w:pStyle w:val="ListParagraph"/>
              <w:numPr>
                <w:ilvl w:val="0"/>
                <w:numId w:val="12"/>
              </w:numPr>
              <w:autoSpaceDE w:val="0"/>
              <w:autoSpaceDN w:val="0"/>
              <w:adjustRightInd w:val="0"/>
              <w:ind w:left="376"/>
              <w:jc w:val="both"/>
              <w:rPr>
                <w:rFonts w:ascii="Arial" w:hAnsi="Arial" w:cs="Arial"/>
                <w:color w:val="545255"/>
                <w:sz w:val="20"/>
                <w:szCs w:val="20"/>
              </w:rPr>
            </w:pPr>
            <w:r w:rsidRPr="000A5F9A">
              <w:rPr>
                <w:rFonts w:ascii="Arial" w:hAnsi="Arial" w:cs="Arial"/>
                <w:color w:val="545255"/>
                <w:sz w:val="20"/>
                <w:szCs w:val="20"/>
              </w:rPr>
              <w:t>Pursuant to Schedule 3 of the Settlement Agents Regulations 1982 (the Regulations), settlement agents are permitted to prepare a wide range of documents to assist their clients.</w:t>
            </w:r>
          </w:p>
          <w:p w:rsidR="000A5F9A" w:rsidRPr="000A5F9A" w:rsidRDefault="000A5F9A" w:rsidP="000A5F9A">
            <w:pPr>
              <w:pStyle w:val="ListParagraph"/>
              <w:jc w:val="both"/>
              <w:rPr>
                <w:rFonts w:ascii="Arial" w:hAnsi="Arial" w:cs="Arial"/>
                <w:color w:val="545255"/>
                <w:sz w:val="20"/>
                <w:szCs w:val="20"/>
              </w:rPr>
            </w:pPr>
            <w:r>
              <w:rPr>
                <w:rFonts w:ascii="Arial" w:hAnsi="Arial" w:cs="Arial"/>
                <w:color w:val="545255"/>
                <w:sz w:val="20"/>
                <w:szCs w:val="20"/>
              </w:rPr>
              <w:t xml:space="preserve">                                                                 </w:t>
            </w:r>
          </w:p>
          <w:p w:rsidR="000A5F9A" w:rsidRPr="000A5F9A" w:rsidRDefault="000A5F9A" w:rsidP="009F7E68">
            <w:pPr>
              <w:pStyle w:val="ListParagraph"/>
              <w:numPr>
                <w:ilvl w:val="0"/>
                <w:numId w:val="12"/>
              </w:numPr>
              <w:autoSpaceDE w:val="0"/>
              <w:autoSpaceDN w:val="0"/>
              <w:adjustRightInd w:val="0"/>
              <w:ind w:left="376"/>
              <w:jc w:val="both"/>
              <w:rPr>
                <w:rFonts w:ascii="Arial" w:hAnsi="Arial" w:cs="Arial"/>
                <w:color w:val="545255"/>
                <w:sz w:val="20"/>
                <w:szCs w:val="20"/>
              </w:rPr>
            </w:pPr>
            <w:r w:rsidRPr="000A5F9A">
              <w:rPr>
                <w:rFonts w:ascii="Arial" w:hAnsi="Arial" w:cs="Arial"/>
                <w:color w:val="545255"/>
                <w:sz w:val="20"/>
                <w:szCs w:val="20"/>
              </w:rPr>
              <w:t>WA small businesses can now access a low-cost way to resolve disputes, through the introduction of a Small Business Commissioner and the Alternative Dispute Resolution (ADR) service.</w:t>
            </w:r>
          </w:p>
          <w:p w:rsidR="000A5F9A" w:rsidRPr="000A5F9A" w:rsidRDefault="000A5F9A" w:rsidP="000A5F9A">
            <w:pPr>
              <w:pStyle w:val="ListParagraph"/>
              <w:rPr>
                <w:rFonts w:ascii="Arial" w:hAnsi="Arial" w:cs="Arial"/>
                <w:color w:val="545255"/>
                <w:sz w:val="20"/>
                <w:szCs w:val="20"/>
              </w:rPr>
            </w:pPr>
          </w:p>
          <w:p w:rsidR="000A5F9A" w:rsidRPr="000A5F9A" w:rsidRDefault="000A5F9A" w:rsidP="009F7E68">
            <w:pPr>
              <w:pStyle w:val="ListParagraph"/>
              <w:numPr>
                <w:ilvl w:val="0"/>
                <w:numId w:val="12"/>
              </w:numPr>
              <w:autoSpaceDE w:val="0"/>
              <w:autoSpaceDN w:val="0"/>
              <w:adjustRightInd w:val="0"/>
              <w:ind w:left="376"/>
              <w:jc w:val="both"/>
              <w:rPr>
                <w:rFonts w:ascii="Arial" w:hAnsi="Arial" w:cs="Arial"/>
                <w:color w:val="545255"/>
                <w:sz w:val="20"/>
                <w:szCs w:val="20"/>
              </w:rPr>
            </w:pPr>
            <w:r w:rsidRPr="000A5F9A">
              <w:rPr>
                <w:rFonts w:ascii="Arial" w:hAnsi="Arial" w:cs="Arial"/>
                <w:color w:val="545255"/>
                <w:sz w:val="20"/>
                <w:szCs w:val="20"/>
              </w:rPr>
              <w:t>Real estate professionals, including settlement agents and conveyancers, should conduct reasonable and timely searches of published contaminated sites information as part of any regular due diligence enquiry.</w:t>
            </w:r>
          </w:p>
          <w:p w:rsidR="0018296B" w:rsidRPr="000A5F9A" w:rsidRDefault="000A5F9A" w:rsidP="000A5F9A">
            <w:pPr>
              <w:pStyle w:val="ListParagraph"/>
              <w:autoSpaceDE w:val="0"/>
              <w:autoSpaceDN w:val="0"/>
              <w:adjustRightInd w:val="0"/>
              <w:ind w:left="376"/>
              <w:jc w:val="both"/>
              <w:rPr>
                <w:rFonts w:ascii="Arial" w:hAnsi="Arial" w:cs="Arial"/>
                <w:color w:val="545255"/>
                <w:sz w:val="20"/>
                <w:szCs w:val="20"/>
              </w:rPr>
            </w:pPr>
            <w:r>
              <w:rPr>
                <w:rFonts w:ascii="Arial" w:hAnsi="Arial" w:cs="Arial"/>
                <w:color w:val="545255"/>
                <w:sz w:val="20"/>
                <w:szCs w:val="20"/>
              </w:rPr>
              <w:t xml:space="preserve">             </w:t>
            </w:r>
          </w:p>
        </w:tc>
      </w:tr>
    </w:tbl>
    <w:p w:rsidR="00FF24C6" w:rsidRDefault="00FF24C6" w:rsidP="00FF24C6">
      <w:pPr>
        <w:spacing w:after="0"/>
      </w:pPr>
    </w:p>
    <w:p w:rsidR="00FF24C6" w:rsidRDefault="00FF24C6">
      <w:r>
        <w:br w:type="page"/>
      </w:r>
    </w:p>
    <w:p w:rsidR="000A5F9A" w:rsidRDefault="000A5F9A" w:rsidP="00FF24C6">
      <w:pPr>
        <w:spacing w:after="0"/>
      </w:pPr>
    </w:p>
    <w:p w:rsidR="00FF24C6" w:rsidRDefault="00FF24C6" w:rsidP="00FF24C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FF24C6" w:rsidTr="00164B2D">
        <w:tc>
          <w:tcPr>
            <w:tcW w:w="1361" w:type="dxa"/>
            <w:shd w:val="clear" w:color="auto" w:fill="D9D9D9" w:themeFill="background1" w:themeFillShade="D9"/>
          </w:tcPr>
          <w:p w:rsidR="00FF24C6" w:rsidRPr="0025137B" w:rsidRDefault="00FF24C6" w:rsidP="00164B2D">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FF24C6" w:rsidRPr="0025137B" w:rsidRDefault="00FF24C6" w:rsidP="00164B2D">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FF24C6" w:rsidRPr="0025137B" w:rsidRDefault="00FF24C6" w:rsidP="00164B2D">
            <w:pPr>
              <w:spacing w:before="60" w:after="60"/>
              <w:rPr>
                <w:b/>
                <w:sz w:val="24"/>
                <w:szCs w:val="24"/>
              </w:rPr>
            </w:pPr>
            <w:r w:rsidRPr="0025137B">
              <w:rPr>
                <w:b/>
                <w:sz w:val="24"/>
                <w:szCs w:val="24"/>
              </w:rPr>
              <w:t>CONTENT SUMMARY</w:t>
            </w:r>
          </w:p>
        </w:tc>
      </w:tr>
      <w:tr w:rsidR="00FF24C6" w:rsidTr="00B165DC">
        <w:tc>
          <w:tcPr>
            <w:tcW w:w="1361" w:type="dxa"/>
          </w:tcPr>
          <w:p w:rsidR="00FF24C6" w:rsidRPr="0025137B" w:rsidRDefault="00164B2D" w:rsidP="00FF24C6">
            <w:pPr>
              <w:spacing w:before="120" w:after="120"/>
              <w:jc w:val="both"/>
            </w:pPr>
            <w:r>
              <w:rPr>
                <w:b/>
                <w:bCs/>
              </w:rPr>
              <w:t>Summer 2012</w:t>
            </w:r>
          </w:p>
          <w:p w:rsidR="00FF24C6" w:rsidRDefault="00FF24C6" w:rsidP="00FF24C6">
            <w:pPr>
              <w:spacing w:before="120" w:after="120"/>
              <w:jc w:val="both"/>
              <w:rPr>
                <w:b/>
                <w:bCs/>
              </w:rPr>
            </w:pPr>
            <w:r>
              <w:rPr>
                <w:b/>
                <w:bCs/>
              </w:rPr>
              <w:t xml:space="preserve">No. </w:t>
            </w:r>
            <w:r w:rsidR="00164B2D">
              <w:rPr>
                <w:b/>
                <w:bCs/>
              </w:rPr>
              <w:t>2</w:t>
            </w:r>
          </w:p>
          <w:p w:rsidR="00FF24C6" w:rsidRDefault="00FF24C6" w:rsidP="00FF24C6">
            <w:pPr>
              <w:spacing w:before="120"/>
              <w:jc w:val="both"/>
            </w:pPr>
          </w:p>
        </w:tc>
        <w:tc>
          <w:tcPr>
            <w:tcW w:w="3792" w:type="dxa"/>
          </w:tcPr>
          <w:p w:rsidR="00246EB4" w:rsidRPr="00B77E28" w:rsidRDefault="00246EB4" w:rsidP="009F7E68">
            <w:pPr>
              <w:pStyle w:val="ListParagraph"/>
              <w:numPr>
                <w:ilvl w:val="0"/>
                <w:numId w:val="14"/>
              </w:numPr>
              <w:tabs>
                <w:tab w:val="right" w:pos="2540"/>
              </w:tabs>
              <w:spacing w:before="120" w:after="120"/>
              <w:ind w:left="340" w:right="-16"/>
              <w:jc w:val="both"/>
              <w:rPr>
                <w:rFonts w:cstheme="minorHAnsi"/>
                <w:b/>
                <w:strike/>
              </w:rPr>
            </w:pPr>
            <w:r w:rsidRPr="00B77E28">
              <w:rPr>
                <w:rFonts w:cstheme="minorHAnsi"/>
                <w:b/>
                <w:strike/>
              </w:rPr>
              <w:t>A new year message from the Commissioner</w:t>
            </w:r>
          </w:p>
          <w:p w:rsidR="00246EB4" w:rsidRPr="00246EB4" w:rsidRDefault="00246EB4" w:rsidP="00246EB4">
            <w:pPr>
              <w:pStyle w:val="ListParagraph"/>
              <w:tabs>
                <w:tab w:val="right" w:pos="2540"/>
              </w:tabs>
              <w:spacing w:before="120" w:after="120"/>
              <w:ind w:left="340" w:right="-16"/>
              <w:jc w:val="both"/>
              <w:rPr>
                <w:rFonts w:cstheme="minorHAnsi"/>
                <w:b/>
              </w:rPr>
            </w:pPr>
          </w:p>
          <w:p w:rsidR="00246EB4" w:rsidRDefault="00246EB4" w:rsidP="009F7E68">
            <w:pPr>
              <w:pStyle w:val="ListParagraph"/>
              <w:numPr>
                <w:ilvl w:val="0"/>
                <w:numId w:val="14"/>
              </w:numPr>
              <w:tabs>
                <w:tab w:val="right" w:pos="2540"/>
              </w:tabs>
              <w:spacing w:before="120" w:after="120"/>
              <w:ind w:left="340" w:right="-16"/>
              <w:jc w:val="both"/>
              <w:rPr>
                <w:rFonts w:cstheme="minorHAnsi"/>
                <w:b/>
              </w:rPr>
            </w:pPr>
            <w:r w:rsidRPr="00246EB4">
              <w:rPr>
                <w:rFonts w:cstheme="minorHAnsi"/>
                <w:b/>
              </w:rPr>
              <w:t>New Seniors’ Housing Centre offers options for over 55s</w:t>
            </w:r>
          </w:p>
          <w:p w:rsidR="00246EB4" w:rsidRPr="00246EB4" w:rsidRDefault="00246EB4" w:rsidP="00246EB4">
            <w:pPr>
              <w:pStyle w:val="ListParagraph"/>
              <w:rPr>
                <w:rFonts w:cstheme="minorHAnsi"/>
                <w:b/>
              </w:rPr>
            </w:pPr>
          </w:p>
          <w:p w:rsidR="00246EB4" w:rsidRDefault="00246EB4" w:rsidP="009F7E68">
            <w:pPr>
              <w:pStyle w:val="ListParagraph"/>
              <w:numPr>
                <w:ilvl w:val="0"/>
                <w:numId w:val="14"/>
              </w:numPr>
              <w:tabs>
                <w:tab w:val="right" w:pos="2540"/>
              </w:tabs>
              <w:spacing w:before="120" w:after="120"/>
              <w:ind w:left="340" w:right="-16"/>
              <w:jc w:val="both"/>
              <w:rPr>
                <w:rFonts w:cstheme="minorHAnsi"/>
                <w:b/>
              </w:rPr>
            </w:pPr>
            <w:r>
              <w:rPr>
                <w:rFonts w:cstheme="minorHAnsi"/>
                <w:b/>
              </w:rPr>
              <w:t xml:space="preserve">Compulsory Professional </w:t>
            </w:r>
            <w:r w:rsidRPr="00246EB4">
              <w:rPr>
                <w:rFonts w:cstheme="minorHAnsi"/>
                <w:b/>
              </w:rPr>
              <w:t xml:space="preserve">Development in 2012 </w:t>
            </w:r>
          </w:p>
          <w:p w:rsidR="00246EB4" w:rsidRPr="00246EB4" w:rsidRDefault="00246EB4" w:rsidP="00246EB4">
            <w:pPr>
              <w:pStyle w:val="ListParagraph"/>
              <w:rPr>
                <w:rFonts w:cstheme="minorHAnsi"/>
                <w:b/>
              </w:rPr>
            </w:pPr>
          </w:p>
          <w:p w:rsidR="00246EB4" w:rsidRDefault="00246EB4" w:rsidP="009F7E68">
            <w:pPr>
              <w:pStyle w:val="ListParagraph"/>
              <w:numPr>
                <w:ilvl w:val="0"/>
                <w:numId w:val="14"/>
              </w:numPr>
              <w:tabs>
                <w:tab w:val="right" w:pos="2540"/>
              </w:tabs>
              <w:spacing w:before="120" w:after="120"/>
              <w:ind w:left="340" w:right="-16"/>
              <w:jc w:val="both"/>
              <w:rPr>
                <w:rFonts w:cstheme="minorHAnsi"/>
                <w:b/>
              </w:rPr>
            </w:pPr>
            <w:r w:rsidRPr="00246EB4">
              <w:rPr>
                <w:rFonts w:cstheme="minorHAnsi"/>
                <w:b/>
              </w:rPr>
              <w:t>Landgate changes</w:t>
            </w:r>
          </w:p>
          <w:p w:rsidR="00246EB4" w:rsidRPr="00246EB4" w:rsidRDefault="00246EB4" w:rsidP="00246EB4">
            <w:pPr>
              <w:pStyle w:val="ListParagraph"/>
              <w:rPr>
                <w:rFonts w:cstheme="minorHAnsi"/>
                <w:b/>
              </w:rPr>
            </w:pPr>
          </w:p>
          <w:p w:rsidR="00246EB4" w:rsidRDefault="00246EB4" w:rsidP="009F7E68">
            <w:pPr>
              <w:pStyle w:val="ListParagraph"/>
              <w:numPr>
                <w:ilvl w:val="0"/>
                <w:numId w:val="14"/>
              </w:numPr>
              <w:tabs>
                <w:tab w:val="right" w:pos="2540"/>
              </w:tabs>
              <w:spacing w:before="120" w:after="120"/>
              <w:ind w:left="340" w:right="-16"/>
              <w:jc w:val="both"/>
              <w:rPr>
                <w:rFonts w:cstheme="minorHAnsi"/>
                <w:b/>
              </w:rPr>
            </w:pPr>
            <w:r w:rsidRPr="00246EB4">
              <w:rPr>
                <w:rFonts w:cstheme="minorHAnsi"/>
                <w:b/>
              </w:rPr>
              <w:t>Make sure you renew on time</w:t>
            </w:r>
          </w:p>
          <w:p w:rsidR="00246EB4" w:rsidRPr="00246EB4" w:rsidRDefault="00246EB4" w:rsidP="00246EB4">
            <w:pPr>
              <w:pStyle w:val="ListParagraph"/>
              <w:rPr>
                <w:rFonts w:cstheme="minorHAnsi"/>
                <w:b/>
              </w:rPr>
            </w:pPr>
          </w:p>
          <w:p w:rsidR="00246EB4" w:rsidRDefault="00246EB4" w:rsidP="009F7E68">
            <w:pPr>
              <w:pStyle w:val="ListParagraph"/>
              <w:numPr>
                <w:ilvl w:val="0"/>
                <w:numId w:val="14"/>
              </w:numPr>
              <w:tabs>
                <w:tab w:val="right" w:pos="2540"/>
              </w:tabs>
              <w:spacing w:before="120" w:after="120"/>
              <w:ind w:left="340" w:right="-16"/>
              <w:jc w:val="both"/>
              <w:rPr>
                <w:rFonts w:cstheme="minorHAnsi"/>
                <w:b/>
              </w:rPr>
            </w:pPr>
            <w:r w:rsidRPr="00246EB4">
              <w:rPr>
                <w:rFonts w:cstheme="minorHAnsi"/>
                <w:b/>
              </w:rPr>
              <w:t>Change to settlement agent triennial certificate renewal requirements</w:t>
            </w:r>
          </w:p>
          <w:p w:rsidR="00246EB4" w:rsidRPr="00246EB4" w:rsidRDefault="00246EB4" w:rsidP="00246EB4">
            <w:pPr>
              <w:pStyle w:val="ListParagraph"/>
              <w:rPr>
                <w:rFonts w:cstheme="minorHAnsi"/>
                <w:b/>
              </w:rPr>
            </w:pPr>
          </w:p>
          <w:p w:rsidR="00246EB4" w:rsidRPr="003A64B2" w:rsidRDefault="00246EB4" w:rsidP="009F7E68">
            <w:pPr>
              <w:pStyle w:val="ListParagraph"/>
              <w:numPr>
                <w:ilvl w:val="0"/>
                <w:numId w:val="14"/>
              </w:numPr>
              <w:tabs>
                <w:tab w:val="right" w:pos="2540"/>
              </w:tabs>
              <w:spacing w:before="120" w:after="120"/>
              <w:ind w:left="340" w:right="-16"/>
              <w:jc w:val="both"/>
              <w:rPr>
                <w:rFonts w:cstheme="minorHAnsi"/>
                <w:b/>
              </w:rPr>
            </w:pPr>
            <w:r w:rsidRPr="003A64B2">
              <w:rPr>
                <w:rFonts w:cstheme="minorHAnsi"/>
                <w:b/>
              </w:rPr>
              <w:t xml:space="preserve">Jardine Lloyd Thompson reappointed as brokers to the Professional Indemnity Insurance Master Policy </w:t>
            </w:r>
          </w:p>
          <w:p w:rsidR="00246EB4" w:rsidRPr="008F5AD7" w:rsidRDefault="00246EB4" w:rsidP="00246EB4">
            <w:pPr>
              <w:tabs>
                <w:tab w:val="right" w:pos="2540"/>
              </w:tabs>
              <w:spacing w:before="120" w:after="60"/>
              <w:ind w:right="-16"/>
              <w:jc w:val="both"/>
              <w:rPr>
                <w:rFonts w:cstheme="minorHAnsi"/>
                <w:b/>
              </w:rPr>
            </w:pPr>
          </w:p>
        </w:tc>
        <w:tc>
          <w:tcPr>
            <w:tcW w:w="9824" w:type="dxa"/>
          </w:tcPr>
          <w:p w:rsidR="0009584F" w:rsidRDefault="0009584F" w:rsidP="0009584F">
            <w:pPr>
              <w:pStyle w:val="ListParagraph"/>
              <w:numPr>
                <w:ilvl w:val="0"/>
                <w:numId w:val="15"/>
              </w:numPr>
              <w:tabs>
                <w:tab w:val="right" w:pos="9589"/>
              </w:tabs>
              <w:spacing w:before="120"/>
              <w:ind w:left="376"/>
              <w:jc w:val="both"/>
              <w:rPr>
                <w:rFonts w:ascii="Arial" w:hAnsi="Arial" w:cs="Arial"/>
                <w:sz w:val="20"/>
                <w:szCs w:val="20"/>
              </w:rPr>
            </w:pPr>
            <w:r w:rsidRPr="0009584F">
              <w:rPr>
                <w:rFonts w:ascii="Arial" w:hAnsi="Arial" w:cs="Arial"/>
                <w:sz w:val="20"/>
                <w:szCs w:val="20"/>
              </w:rPr>
              <w:t>Department of Commerce has launched the Seniors’ Housing Centre providing free information on housing options</w:t>
            </w:r>
            <w:r w:rsidRPr="0009584F">
              <w:rPr>
                <w:rFonts w:ascii="Arial" w:hAnsi="Arial" w:cs="Arial"/>
                <w:color w:val="545255"/>
                <w:sz w:val="20"/>
                <w:szCs w:val="20"/>
              </w:rPr>
              <w:t xml:space="preserve"> available to the over 55s, from modifying or re-developing existing homes, to moving into strata titled community housing, renting or moving into a residential park or retirement village</w:t>
            </w:r>
            <w:r w:rsidRPr="0009584F">
              <w:rPr>
                <w:rFonts w:ascii="Arial" w:hAnsi="Arial" w:cs="Arial"/>
                <w:sz w:val="20"/>
                <w:szCs w:val="20"/>
              </w:rPr>
              <w:t>s</w:t>
            </w:r>
            <w:r>
              <w:rPr>
                <w:rFonts w:ascii="Arial" w:hAnsi="Arial" w:cs="Arial"/>
                <w:sz w:val="20"/>
                <w:szCs w:val="20"/>
              </w:rPr>
              <w:t>.</w:t>
            </w:r>
          </w:p>
          <w:p w:rsidR="00790A42" w:rsidRPr="00790A42" w:rsidRDefault="00790A42" w:rsidP="00790A42">
            <w:pPr>
              <w:tabs>
                <w:tab w:val="right" w:pos="9589"/>
              </w:tabs>
              <w:ind w:left="16"/>
              <w:jc w:val="both"/>
              <w:rPr>
                <w:rFonts w:ascii="Arial" w:hAnsi="Arial" w:cs="Arial"/>
                <w:sz w:val="20"/>
                <w:szCs w:val="20"/>
              </w:rPr>
            </w:pPr>
          </w:p>
          <w:p w:rsidR="003A64B2" w:rsidRPr="00790A42" w:rsidRDefault="0009584F" w:rsidP="00790A42">
            <w:pPr>
              <w:pStyle w:val="ListParagraph"/>
              <w:numPr>
                <w:ilvl w:val="0"/>
                <w:numId w:val="15"/>
              </w:numPr>
              <w:tabs>
                <w:tab w:val="right" w:pos="9589"/>
              </w:tabs>
              <w:ind w:left="376"/>
              <w:jc w:val="both"/>
              <w:rPr>
                <w:rFonts w:ascii="Arial" w:hAnsi="Arial" w:cs="Arial"/>
                <w:sz w:val="20"/>
                <w:szCs w:val="20"/>
              </w:rPr>
            </w:pPr>
            <w:r w:rsidRPr="00790A42">
              <w:rPr>
                <w:rFonts w:ascii="Arial" w:hAnsi="Arial" w:cs="Arial"/>
                <w:sz w:val="20"/>
                <w:szCs w:val="20"/>
              </w:rPr>
              <w:t>I</w:t>
            </w:r>
            <w:r w:rsidR="00B77E28" w:rsidRPr="00790A42">
              <w:rPr>
                <w:rFonts w:ascii="Arial" w:hAnsi="Arial" w:cs="Arial"/>
                <w:sz w:val="20"/>
                <w:szCs w:val="20"/>
              </w:rPr>
              <w:t xml:space="preserve">ndustry participants </w:t>
            </w:r>
            <w:r w:rsidR="003A64B2" w:rsidRPr="00790A42">
              <w:rPr>
                <w:rFonts w:ascii="Arial" w:hAnsi="Arial" w:cs="Arial"/>
                <w:sz w:val="20"/>
                <w:szCs w:val="20"/>
              </w:rPr>
              <w:t xml:space="preserve">reminded </w:t>
            </w:r>
            <w:r w:rsidR="00B77E28" w:rsidRPr="00790A42">
              <w:rPr>
                <w:rFonts w:ascii="Arial" w:hAnsi="Arial" w:cs="Arial"/>
                <w:sz w:val="20"/>
                <w:szCs w:val="20"/>
              </w:rPr>
              <w:t>that the requirement to undertake Compulsor</w:t>
            </w:r>
            <w:r w:rsidR="003A64B2" w:rsidRPr="00790A42">
              <w:rPr>
                <w:rFonts w:ascii="Arial" w:hAnsi="Arial" w:cs="Arial"/>
                <w:sz w:val="20"/>
                <w:szCs w:val="20"/>
              </w:rPr>
              <w:t>y Professional Development</w:t>
            </w:r>
            <w:r w:rsidR="00B77E28" w:rsidRPr="00790A42">
              <w:rPr>
                <w:rFonts w:ascii="Arial" w:hAnsi="Arial" w:cs="Arial"/>
                <w:sz w:val="20"/>
                <w:szCs w:val="20"/>
              </w:rPr>
              <w:t xml:space="preserve"> remains unchanged for 2012.</w:t>
            </w:r>
          </w:p>
          <w:p w:rsidR="003A64B2" w:rsidRPr="003A64B2" w:rsidRDefault="003A64B2" w:rsidP="003A64B2">
            <w:pPr>
              <w:pStyle w:val="ListParagraph"/>
              <w:rPr>
                <w:rFonts w:ascii="Arial" w:hAnsi="Arial" w:cs="Arial"/>
                <w:sz w:val="20"/>
                <w:szCs w:val="20"/>
              </w:rPr>
            </w:pPr>
          </w:p>
          <w:p w:rsidR="00FF24C6" w:rsidRDefault="003A64B2" w:rsidP="003A64B2">
            <w:pPr>
              <w:pStyle w:val="ListParagraph"/>
              <w:numPr>
                <w:ilvl w:val="0"/>
                <w:numId w:val="15"/>
              </w:numPr>
              <w:tabs>
                <w:tab w:val="right" w:pos="9589"/>
              </w:tabs>
              <w:spacing w:before="120" w:after="120"/>
              <w:ind w:left="376"/>
              <w:jc w:val="both"/>
              <w:rPr>
                <w:rFonts w:ascii="Arial" w:hAnsi="Arial" w:cs="Arial"/>
                <w:sz w:val="20"/>
                <w:szCs w:val="20"/>
              </w:rPr>
            </w:pPr>
            <w:r>
              <w:rPr>
                <w:rFonts w:ascii="Arial" w:hAnsi="Arial" w:cs="Arial"/>
                <w:sz w:val="20"/>
                <w:szCs w:val="20"/>
              </w:rPr>
              <w:t xml:space="preserve">Changes to </w:t>
            </w:r>
            <w:r w:rsidRPr="003A64B2">
              <w:rPr>
                <w:rFonts w:ascii="Arial" w:hAnsi="Arial" w:cs="Arial"/>
                <w:i/>
                <w:sz w:val="20"/>
                <w:szCs w:val="20"/>
              </w:rPr>
              <w:t>Caveat (Improper Dealings)</w:t>
            </w:r>
            <w:r w:rsidRPr="003A64B2">
              <w:rPr>
                <w:rFonts w:ascii="Arial" w:hAnsi="Arial" w:cs="Arial"/>
                <w:sz w:val="20"/>
                <w:szCs w:val="20"/>
              </w:rPr>
              <w:t xml:space="preserve"> and</w:t>
            </w:r>
            <w:r w:rsidRPr="003A64B2">
              <w:rPr>
                <w:rFonts w:ascii="HelveticaNeue-Medium" w:hAnsi="HelveticaNeue-Medium" w:cs="HelveticaNeue-Medium"/>
                <w:color w:val="174A7D"/>
                <w:sz w:val="20"/>
                <w:szCs w:val="20"/>
              </w:rPr>
              <w:t xml:space="preserve"> </w:t>
            </w:r>
            <w:r w:rsidRPr="003A64B2">
              <w:rPr>
                <w:rFonts w:ascii="Arial" w:hAnsi="Arial" w:cs="Arial"/>
                <w:i/>
                <w:sz w:val="20"/>
                <w:szCs w:val="20"/>
              </w:rPr>
              <w:t>Transfer of Land Documents executed by the Transferor(s) outside of Australia</w:t>
            </w:r>
            <w:r w:rsidRPr="003A64B2">
              <w:rPr>
                <w:rFonts w:ascii="Arial" w:hAnsi="Arial" w:cs="Arial"/>
                <w:sz w:val="20"/>
                <w:szCs w:val="20"/>
              </w:rPr>
              <w:t xml:space="preserve">.  </w:t>
            </w:r>
            <w:r>
              <w:rPr>
                <w:rFonts w:ascii="Arial" w:hAnsi="Arial" w:cs="Arial"/>
                <w:sz w:val="20"/>
                <w:szCs w:val="20"/>
              </w:rPr>
              <w:t>I</w:t>
            </w:r>
            <w:r w:rsidR="00B77E28" w:rsidRPr="003A64B2">
              <w:rPr>
                <w:rFonts w:ascii="Arial" w:hAnsi="Arial" w:cs="Arial"/>
                <w:sz w:val="20"/>
                <w:szCs w:val="20"/>
              </w:rPr>
              <w:t xml:space="preserve">nformation sourced from Landgate Customer Information Bulletins 208 and 210. Updated CIBs are published on Landgate’s website at </w:t>
            </w:r>
            <w:hyperlink r:id="rId9" w:history="1">
              <w:r w:rsidR="002811BB" w:rsidRPr="003A64B2">
                <w:rPr>
                  <w:rStyle w:val="Hyperlink"/>
                  <w:rFonts w:ascii="Arial" w:hAnsi="Arial" w:cs="Arial"/>
                  <w:color w:val="auto"/>
                  <w:sz w:val="20"/>
                  <w:szCs w:val="20"/>
                </w:rPr>
                <w:t>www.landgate.com.au</w:t>
              </w:r>
            </w:hyperlink>
            <w:r w:rsidR="00B77E28" w:rsidRPr="003A64B2">
              <w:rPr>
                <w:rFonts w:ascii="Arial" w:hAnsi="Arial" w:cs="Arial"/>
                <w:sz w:val="20"/>
                <w:szCs w:val="20"/>
              </w:rPr>
              <w:t>.</w:t>
            </w:r>
          </w:p>
          <w:p w:rsidR="003A64B2" w:rsidRPr="003A64B2" w:rsidRDefault="003A64B2" w:rsidP="003A64B2">
            <w:pPr>
              <w:pStyle w:val="ListParagraph"/>
              <w:rPr>
                <w:rFonts w:ascii="Arial" w:hAnsi="Arial" w:cs="Arial"/>
                <w:sz w:val="20"/>
                <w:szCs w:val="20"/>
              </w:rPr>
            </w:pPr>
          </w:p>
          <w:p w:rsidR="002811BB" w:rsidRDefault="002811BB" w:rsidP="003A64B2">
            <w:pPr>
              <w:pStyle w:val="ListParagraph"/>
              <w:numPr>
                <w:ilvl w:val="0"/>
                <w:numId w:val="15"/>
              </w:numPr>
              <w:tabs>
                <w:tab w:val="right" w:pos="9589"/>
              </w:tabs>
              <w:spacing w:before="120" w:after="120"/>
              <w:ind w:left="376"/>
              <w:jc w:val="both"/>
              <w:rPr>
                <w:rFonts w:ascii="Arial" w:hAnsi="Arial" w:cs="Arial"/>
                <w:sz w:val="20"/>
                <w:szCs w:val="20"/>
              </w:rPr>
            </w:pPr>
            <w:r w:rsidRPr="003A64B2">
              <w:rPr>
                <w:rFonts w:ascii="Arial" w:hAnsi="Arial" w:cs="Arial"/>
                <w:sz w:val="20"/>
                <w:szCs w:val="20"/>
              </w:rPr>
              <w:t xml:space="preserve">Agents should </w:t>
            </w:r>
            <w:r w:rsidR="003A64B2" w:rsidRPr="003A64B2">
              <w:rPr>
                <w:rFonts w:ascii="Arial" w:hAnsi="Arial" w:cs="Arial"/>
                <w:sz w:val="20"/>
                <w:szCs w:val="20"/>
              </w:rPr>
              <w:t>en</w:t>
            </w:r>
            <w:r w:rsidRPr="003A64B2">
              <w:rPr>
                <w:rFonts w:ascii="Arial" w:hAnsi="Arial" w:cs="Arial"/>
                <w:sz w:val="20"/>
                <w:szCs w:val="20"/>
              </w:rPr>
              <w:t>sure that applications to renew relevant triennial certificates are lodged with Consumer Protection well before the expiry date to ensure their businesses are not at risk.</w:t>
            </w:r>
          </w:p>
          <w:p w:rsidR="003A64B2" w:rsidRPr="003A64B2" w:rsidRDefault="003A64B2" w:rsidP="003A64B2">
            <w:pPr>
              <w:pStyle w:val="ListParagraph"/>
              <w:rPr>
                <w:rFonts w:ascii="Arial" w:hAnsi="Arial" w:cs="Arial"/>
                <w:sz w:val="20"/>
                <w:szCs w:val="20"/>
              </w:rPr>
            </w:pPr>
          </w:p>
          <w:p w:rsidR="002811BB" w:rsidRDefault="002811BB" w:rsidP="003A64B2">
            <w:pPr>
              <w:pStyle w:val="ListParagraph"/>
              <w:numPr>
                <w:ilvl w:val="0"/>
                <w:numId w:val="15"/>
              </w:numPr>
              <w:tabs>
                <w:tab w:val="right" w:pos="9589"/>
              </w:tabs>
              <w:spacing w:before="120" w:after="120"/>
              <w:ind w:left="376"/>
              <w:jc w:val="both"/>
              <w:rPr>
                <w:rFonts w:ascii="Arial" w:hAnsi="Arial" w:cs="Arial"/>
                <w:sz w:val="20"/>
                <w:szCs w:val="20"/>
              </w:rPr>
            </w:pPr>
            <w:r w:rsidRPr="003A64B2">
              <w:rPr>
                <w:rFonts w:ascii="Arial" w:hAnsi="Arial" w:cs="Arial"/>
                <w:sz w:val="20"/>
                <w:szCs w:val="20"/>
              </w:rPr>
              <w:t>In response to issues raised with the Consumer Protection, a review of the settlement agent triennial certificate renewal requirements has been undertaken.</w:t>
            </w:r>
          </w:p>
          <w:p w:rsidR="003A64B2" w:rsidRPr="003A64B2" w:rsidRDefault="003A64B2" w:rsidP="003A64B2">
            <w:pPr>
              <w:pStyle w:val="ListParagraph"/>
              <w:rPr>
                <w:rFonts w:ascii="Arial" w:hAnsi="Arial" w:cs="Arial"/>
                <w:sz w:val="20"/>
                <w:szCs w:val="20"/>
              </w:rPr>
            </w:pPr>
          </w:p>
          <w:p w:rsidR="002811BB" w:rsidRPr="004C0A05" w:rsidRDefault="002811BB" w:rsidP="003A64B2">
            <w:pPr>
              <w:pStyle w:val="ListParagraph"/>
              <w:numPr>
                <w:ilvl w:val="0"/>
                <w:numId w:val="15"/>
              </w:numPr>
              <w:tabs>
                <w:tab w:val="right" w:pos="9589"/>
              </w:tabs>
              <w:spacing w:before="120" w:after="120"/>
              <w:ind w:left="376"/>
              <w:jc w:val="both"/>
              <w:rPr>
                <w:rFonts w:ascii="Arial" w:hAnsi="Arial" w:cs="Arial"/>
                <w:sz w:val="20"/>
                <w:szCs w:val="20"/>
              </w:rPr>
            </w:pPr>
            <w:r w:rsidRPr="004C0A05">
              <w:rPr>
                <w:rFonts w:ascii="Arial" w:hAnsi="Arial" w:cs="Arial"/>
                <w:sz w:val="20"/>
                <w:szCs w:val="20"/>
              </w:rPr>
              <w:t>Master Policy for settlement agents’ Professional Indemnity and Fidelity Insurance has been renewed with Jardine Lloyd Thompson (JLT).</w:t>
            </w:r>
            <w:bookmarkStart w:id="0" w:name="_GoBack"/>
            <w:bookmarkEnd w:id="0"/>
          </w:p>
          <w:p w:rsidR="002811BB" w:rsidRPr="003A64B2" w:rsidRDefault="002811BB" w:rsidP="002811BB">
            <w:pPr>
              <w:pStyle w:val="ListParagraph"/>
              <w:ind w:left="376"/>
              <w:rPr>
                <w:rFonts w:ascii="Arial" w:hAnsi="Arial" w:cs="Arial"/>
                <w:sz w:val="20"/>
                <w:szCs w:val="20"/>
              </w:rPr>
            </w:pPr>
          </w:p>
          <w:p w:rsidR="00FF24C6" w:rsidRPr="00D2171D" w:rsidRDefault="00FF24C6" w:rsidP="002811BB">
            <w:pPr>
              <w:jc w:val="both"/>
              <w:rPr>
                <w:rFonts w:ascii="Arial" w:hAnsi="Arial" w:cs="Arial"/>
                <w:sz w:val="20"/>
                <w:szCs w:val="20"/>
              </w:rPr>
            </w:pPr>
          </w:p>
        </w:tc>
      </w:tr>
    </w:tbl>
    <w:p w:rsidR="00936D49" w:rsidRDefault="00936D49" w:rsidP="00936D49">
      <w:pPr>
        <w:spacing w:after="0"/>
      </w:pPr>
    </w:p>
    <w:p w:rsidR="00936D49" w:rsidRDefault="00936D49">
      <w:r>
        <w:br w:type="page"/>
      </w:r>
    </w:p>
    <w:p w:rsidR="00936D49" w:rsidRDefault="00936D49" w:rsidP="00936D49">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936D49" w:rsidTr="004D75E4">
        <w:tc>
          <w:tcPr>
            <w:tcW w:w="1361" w:type="dxa"/>
            <w:shd w:val="clear" w:color="auto" w:fill="D9D9D9" w:themeFill="background1" w:themeFillShade="D9"/>
          </w:tcPr>
          <w:p w:rsidR="00936D49" w:rsidRPr="0025137B" w:rsidRDefault="00936D49" w:rsidP="004D75E4">
            <w:pPr>
              <w:spacing w:before="60" w:after="60"/>
              <w:rPr>
                <w:b/>
                <w:sz w:val="24"/>
                <w:szCs w:val="24"/>
              </w:rPr>
            </w:pPr>
            <w:r w:rsidRPr="0025137B">
              <w:rPr>
                <w:b/>
                <w:sz w:val="24"/>
                <w:szCs w:val="24"/>
              </w:rPr>
              <w:t>DATE / NO.</w:t>
            </w:r>
          </w:p>
        </w:tc>
        <w:tc>
          <w:tcPr>
            <w:tcW w:w="3792" w:type="dxa"/>
            <w:shd w:val="clear" w:color="auto" w:fill="D9D9D9" w:themeFill="background1" w:themeFillShade="D9"/>
          </w:tcPr>
          <w:p w:rsidR="00936D49" w:rsidRPr="0025137B" w:rsidRDefault="00936D49" w:rsidP="004D75E4">
            <w:pPr>
              <w:spacing w:before="60" w:after="60"/>
              <w:rPr>
                <w:b/>
                <w:sz w:val="24"/>
                <w:szCs w:val="24"/>
              </w:rPr>
            </w:pPr>
            <w:r>
              <w:rPr>
                <w:b/>
                <w:sz w:val="24"/>
                <w:szCs w:val="24"/>
              </w:rPr>
              <w:t>ISSUE</w:t>
            </w:r>
            <w:r w:rsidRPr="0025137B">
              <w:rPr>
                <w:b/>
                <w:sz w:val="24"/>
                <w:szCs w:val="24"/>
              </w:rPr>
              <w:t xml:space="preserve"> / TITLE </w:t>
            </w:r>
          </w:p>
        </w:tc>
        <w:tc>
          <w:tcPr>
            <w:tcW w:w="9824" w:type="dxa"/>
            <w:shd w:val="clear" w:color="auto" w:fill="D9D9D9" w:themeFill="background1" w:themeFillShade="D9"/>
          </w:tcPr>
          <w:p w:rsidR="00936D49" w:rsidRPr="0025137B" w:rsidRDefault="00936D49" w:rsidP="004D75E4">
            <w:pPr>
              <w:spacing w:before="60" w:after="60"/>
              <w:rPr>
                <w:b/>
                <w:sz w:val="24"/>
                <w:szCs w:val="24"/>
              </w:rPr>
            </w:pPr>
            <w:r w:rsidRPr="0025137B">
              <w:rPr>
                <w:b/>
                <w:sz w:val="24"/>
                <w:szCs w:val="24"/>
              </w:rPr>
              <w:t>CONTENT SUMMARY</w:t>
            </w:r>
          </w:p>
        </w:tc>
      </w:tr>
      <w:tr w:rsidR="00936D49" w:rsidTr="004D75E4">
        <w:tc>
          <w:tcPr>
            <w:tcW w:w="1361" w:type="dxa"/>
          </w:tcPr>
          <w:p w:rsidR="00936D49" w:rsidRPr="0025137B" w:rsidRDefault="00936D49" w:rsidP="004D75E4">
            <w:pPr>
              <w:spacing w:before="120" w:after="120"/>
              <w:jc w:val="both"/>
            </w:pPr>
            <w:r>
              <w:rPr>
                <w:b/>
                <w:bCs/>
              </w:rPr>
              <w:t>S</w:t>
            </w:r>
            <w:r w:rsidR="00A4376C">
              <w:rPr>
                <w:b/>
                <w:bCs/>
              </w:rPr>
              <w:t>pring 2011</w:t>
            </w:r>
          </w:p>
          <w:p w:rsidR="00936D49" w:rsidRDefault="00936D49" w:rsidP="004D75E4">
            <w:pPr>
              <w:spacing w:before="120" w:after="120"/>
              <w:jc w:val="both"/>
              <w:rPr>
                <w:b/>
                <w:bCs/>
              </w:rPr>
            </w:pPr>
            <w:r>
              <w:rPr>
                <w:b/>
                <w:bCs/>
              </w:rPr>
              <w:t xml:space="preserve">No. </w:t>
            </w:r>
            <w:r w:rsidR="00A4376C">
              <w:rPr>
                <w:b/>
                <w:bCs/>
              </w:rPr>
              <w:t>1</w:t>
            </w:r>
          </w:p>
          <w:p w:rsidR="00936D49" w:rsidRDefault="00936D49" w:rsidP="004D75E4">
            <w:pPr>
              <w:spacing w:before="120"/>
              <w:jc w:val="both"/>
            </w:pPr>
          </w:p>
        </w:tc>
        <w:tc>
          <w:tcPr>
            <w:tcW w:w="3792" w:type="dxa"/>
          </w:tcPr>
          <w:p w:rsidR="00936D49" w:rsidRDefault="00936D49" w:rsidP="00A4376C">
            <w:pPr>
              <w:pStyle w:val="ListParagraph"/>
              <w:numPr>
                <w:ilvl w:val="0"/>
                <w:numId w:val="21"/>
              </w:numPr>
              <w:tabs>
                <w:tab w:val="right" w:pos="2540"/>
              </w:tabs>
              <w:spacing w:before="120" w:after="120"/>
              <w:ind w:left="340" w:right="-16"/>
              <w:jc w:val="both"/>
              <w:rPr>
                <w:rFonts w:cstheme="minorHAnsi"/>
                <w:b/>
                <w:strike/>
              </w:rPr>
            </w:pPr>
            <w:r w:rsidRPr="00A4376C">
              <w:rPr>
                <w:rFonts w:cstheme="minorHAnsi"/>
                <w:b/>
                <w:strike/>
              </w:rPr>
              <w:t xml:space="preserve">A </w:t>
            </w:r>
            <w:r w:rsidR="00A4376C" w:rsidRPr="00A4376C">
              <w:rPr>
                <w:rFonts w:cstheme="minorHAnsi"/>
                <w:b/>
                <w:strike/>
              </w:rPr>
              <w:t>Welcome from the Commissioner</w:t>
            </w:r>
          </w:p>
          <w:p w:rsidR="00A4376C" w:rsidRPr="00A4376C" w:rsidRDefault="00A4376C" w:rsidP="00A4376C">
            <w:pPr>
              <w:pStyle w:val="ListParagraph"/>
              <w:tabs>
                <w:tab w:val="right" w:pos="2540"/>
              </w:tabs>
              <w:spacing w:before="120" w:after="120"/>
              <w:ind w:left="340" w:right="-16"/>
              <w:jc w:val="both"/>
              <w:rPr>
                <w:rFonts w:cstheme="minorHAnsi"/>
                <w:b/>
                <w:strike/>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Landgate Interest Enquiry</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New licensing fees</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Property Industry Advisory  Committee</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 xml:space="preserve">New contact details, eBulletins, Newsletters </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Residual Current Devices (RCDs) and smoke alarms—a timely safety reminder</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Pr>
                <w:rFonts w:cstheme="minorHAnsi"/>
                <w:b/>
              </w:rPr>
              <w:t>Au</w:t>
            </w:r>
            <w:r w:rsidRPr="00A4376C">
              <w:rPr>
                <w:rFonts w:cstheme="minorHAnsi"/>
                <w:b/>
              </w:rPr>
              <w:t>stralian Consumer Law</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National Occupational Licensing</w:t>
            </w:r>
          </w:p>
          <w:p w:rsidR="00A4376C" w:rsidRPr="00A4376C" w:rsidRDefault="00A4376C" w:rsidP="00A4376C">
            <w:pPr>
              <w:pStyle w:val="ListParagraph"/>
              <w:autoSpaceDE w:val="0"/>
              <w:autoSpaceDN w:val="0"/>
              <w:adjustRightInd w:val="0"/>
              <w:ind w:left="340"/>
              <w:rPr>
                <w:rFonts w:cstheme="minorHAnsi"/>
                <w:b/>
              </w:rPr>
            </w:pPr>
          </w:p>
          <w:p w:rsidR="00A4376C" w:rsidRDefault="00A4376C" w:rsidP="00A4376C">
            <w:pPr>
              <w:pStyle w:val="ListParagraph"/>
              <w:numPr>
                <w:ilvl w:val="0"/>
                <w:numId w:val="21"/>
              </w:numPr>
              <w:autoSpaceDE w:val="0"/>
              <w:autoSpaceDN w:val="0"/>
              <w:adjustRightInd w:val="0"/>
              <w:ind w:left="340"/>
              <w:rPr>
                <w:rFonts w:cstheme="minorHAnsi"/>
                <w:b/>
              </w:rPr>
            </w:pPr>
            <w:r w:rsidRPr="00A4376C">
              <w:rPr>
                <w:rFonts w:cstheme="minorHAnsi"/>
                <w:b/>
              </w:rPr>
              <w:t>Real estate scam and property fraud prevention</w:t>
            </w:r>
          </w:p>
          <w:p w:rsidR="00A4376C" w:rsidRPr="00A4376C" w:rsidRDefault="00A4376C" w:rsidP="00A4376C">
            <w:pPr>
              <w:pStyle w:val="ListParagraph"/>
              <w:autoSpaceDE w:val="0"/>
              <w:autoSpaceDN w:val="0"/>
              <w:adjustRightInd w:val="0"/>
              <w:ind w:left="340"/>
              <w:rPr>
                <w:rFonts w:cstheme="minorHAnsi"/>
                <w:b/>
              </w:rPr>
            </w:pPr>
          </w:p>
          <w:p w:rsidR="00936D49" w:rsidRPr="00A4376C" w:rsidRDefault="00A4376C" w:rsidP="00A4376C">
            <w:pPr>
              <w:pStyle w:val="ListParagraph"/>
              <w:numPr>
                <w:ilvl w:val="0"/>
                <w:numId w:val="21"/>
              </w:numPr>
              <w:tabs>
                <w:tab w:val="right" w:pos="2540"/>
              </w:tabs>
              <w:spacing w:before="120" w:after="120"/>
              <w:ind w:left="340" w:right="-16"/>
              <w:jc w:val="both"/>
              <w:rPr>
                <w:rFonts w:cstheme="minorHAnsi"/>
                <w:b/>
              </w:rPr>
            </w:pPr>
            <w:r w:rsidRPr="00A4376C">
              <w:rPr>
                <w:rFonts w:cstheme="minorHAnsi"/>
                <w:b/>
              </w:rPr>
              <w:t>e-Conveyancing (NECS)</w:t>
            </w:r>
          </w:p>
          <w:p w:rsidR="00936D49" w:rsidRPr="008F5AD7" w:rsidRDefault="00936D49" w:rsidP="00A4376C">
            <w:pPr>
              <w:tabs>
                <w:tab w:val="right" w:pos="2540"/>
              </w:tabs>
              <w:spacing w:before="120" w:after="120"/>
              <w:ind w:left="-20" w:right="-16"/>
              <w:jc w:val="both"/>
              <w:rPr>
                <w:rFonts w:cstheme="minorHAnsi"/>
                <w:b/>
              </w:rPr>
            </w:pPr>
          </w:p>
        </w:tc>
        <w:tc>
          <w:tcPr>
            <w:tcW w:w="9824" w:type="dxa"/>
          </w:tcPr>
          <w:p w:rsidR="00AF6637" w:rsidRPr="00A26B90" w:rsidRDefault="00AF6637" w:rsidP="00AF6637">
            <w:pPr>
              <w:pStyle w:val="ListParagraph"/>
              <w:numPr>
                <w:ilvl w:val="0"/>
                <w:numId w:val="22"/>
              </w:numPr>
              <w:tabs>
                <w:tab w:val="right" w:pos="9589"/>
              </w:tabs>
              <w:spacing w:before="120"/>
              <w:ind w:left="376"/>
              <w:jc w:val="both"/>
              <w:rPr>
                <w:rFonts w:ascii="Arial" w:hAnsi="Arial" w:cs="Arial"/>
                <w:strike/>
                <w:sz w:val="20"/>
                <w:szCs w:val="20"/>
              </w:rPr>
            </w:pPr>
            <w:r w:rsidRPr="00A26B90">
              <w:rPr>
                <w:rFonts w:ascii="Arial" w:hAnsi="Arial" w:cs="Arial"/>
                <w:strike/>
                <w:sz w:val="20"/>
                <w:szCs w:val="20"/>
              </w:rPr>
              <w:t>With the transfer of responsibility for the regulation of several industry boards to Consumer Protection now well behind us, I thought it would be a good opportunity for me to thank those who assisted during both the transitional period and importantly the Boards themselves, that oversaw the real estate and settlement industries in Western Australia. It’s also a great opportunity for me to discuss a number of the positive changes that are occurring now and are set to occur into the future.</w:t>
            </w:r>
          </w:p>
          <w:p w:rsidR="00AF6637" w:rsidRPr="00A26B90" w:rsidRDefault="00AF6637" w:rsidP="00AF6637">
            <w:pPr>
              <w:tabs>
                <w:tab w:val="right" w:pos="9589"/>
              </w:tabs>
              <w:ind w:left="16"/>
              <w:jc w:val="both"/>
              <w:rPr>
                <w:rFonts w:ascii="Arial" w:hAnsi="Arial" w:cs="Arial"/>
                <w:strike/>
                <w:sz w:val="20"/>
                <w:szCs w:val="20"/>
              </w:rPr>
            </w:pPr>
          </w:p>
          <w:p w:rsidR="00AF6637" w:rsidRPr="00A26B90" w:rsidRDefault="00AF6637" w:rsidP="00AF6637">
            <w:pPr>
              <w:pStyle w:val="ListParagraph"/>
              <w:numPr>
                <w:ilvl w:val="0"/>
                <w:numId w:val="22"/>
              </w:numPr>
              <w:tabs>
                <w:tab w:val="right" w:pos="9589"/>
              </w:tabs>
              <w:spacing w:before="120"/>
              <w:ind w:left="376"/>
              <w:jc w:val="both"/>
              <w:rPr>
                <w:rFonts w:ascii="Arial" w:hAnsi="Arial" w:cs="Arial"/>
                <w:sz w:val="20"/>
                <w:szCs w:val="20"/>
              </w:rPr>
            </w:pPr>
            <w:r w:rsidRPr="00A26B90">
              <w:rPr>
                <w:rFonts w:ascii="Arial" w:hAnsi="Arial" w:cs="Arial"/>
                <w:sz w:val="20"/>
                <w:szCs w:val="20"/>
              </w:rPr>
              <w:t xml:space="preserve">Interest Enquiry service is a relatively new online search tool provided by Landgate which allows parties to obtain the details of interests that may be held on a property.  A property interest is an interest that affects the use of land, is supported by legislation and has a government agency as its custodian. Examples of property interests currently held on Landgate’s system include Native Title and Indigenous Land Use Agreements, Municipal Heritage Inventory listings and Native Vegetation Conservation requirements. </w:t>
            </w:r>
          </w:p>
          <w:p w:rsidR="00A26B90" w:rsidRPr="00A26B90" w:rsidRDefault="00A26B90" w:rsidP="00A26B90">
            <w:pPr>
              <w:pStyle w:val="ListParagraph"/>
              <w:tabs>
                <w:tab w:val="right" w:pos="9589"/>
              </w:tabs>
              <w:spacing w:before="120"/>
              <w:ind w:left="376"/>
              <w:jc w:val="both"/>
              <w:rPr>
                <w:rFonts w:ascii="Arial" w:hAnsi="Arial" w:cs="Arial"/>
                <w:sz w:val="20"/>
                <w:szCs w:val="20"/>
              </w:rPr>
            </w:pPr>
          </w:p>
          <w:p w:rsidR="00936D49" w:rsidRPr="00A26B90" w:rsidRDefault="00AF6637" w:rsidP="0079126B">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 xml:space="preserve">As at 1 July 2011, fees related to new licence and registration applications and </w:t>
            </w:r>
            <w:r w:rsidR="0079126B" w:rsidRPr="00A26B90">
              <w:rPr>
                <w:rFonts w:ascii="Arial" w:hAnsi="Arial" w:cs="Arial"/>
                <w:color w:val="545255"/>
                <w:sz w:val="20"/>
                <w:szCs w:val="20"/>
              </w:rPr>
              <w:t xml:space="preserve">triennial </w:t>
            </w:r>
            <w:r w:rsidRPr="00A26B90">
              <w:rPr>
                <w:rFonts w:ascii="Arial" w:hAnsi="Arial" w:cs="Arial"/>
                <w:color w:val="545255"/>
                <w:sz w:val="20"/>
                <w:szCs w:val="20"/>
              </w:rPr>
              <w:t>certificate renewals were increased slightly to keep pace with the annual increase in the CPI.</w:t>
            </w:r>
          </w:p>
          <w:p w:rsidR="0079126B" w:rsidRPr="00A26B90" w:rsidRDefault="0079126B" w:rsidP="0079126B">
            <w:pPr>
              <w:pStyle w:val="ListParagraph"/>
              <w:rPr>
                <w:rFonts w:ascii="Arial" w:hAnsi="Arial" w:cs="Arial"/>
                <w:color w:val="545255"/>
                <w:sz w:val="20"/>
                <w:szCs w:val="20"/>
              </w:rPr>
            </w:pPr>
          </w:p>
          <w:p w:rsidR="0079126B" w:rsidRPr="00A26B90" w:rsidRDefault="0079126B" w:rsidP="0079126B">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As part of its reforms to the administration of licensing in the settlement and real estate industries the Government decided to establish a statutory Property Industry Advisory Committee (PIAC).</w:t>
            </w:r>
          </w:p>
          <w:p w:rsidR="0079126B" w:rsidRPr="00A26B90" w:rsidRDefault="0079126B" w:rsidP="0079126B">
            <w:pPr>
              <w:pStyle w:val="ListParagraph"/>
              <w:rPr>
                <w:rFonts w:ascii="Arial" w:hAnsi="Arial" w:cs="Arial"/>
                <w:color w:val="545255"/>
                <w:sz w:val="20"/>
                <w:szCs w:val="20"/>
              </w:rPr>
            </w:pPr>
          </w:p>
          <w:p w:rsidR="0079126B" w:rsidRPr="00A26B90" w:rsidRDefault="0079126B" w:rsidP="0079126B">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 xml:space="preserve">With the transfer of the regulatory functions to Consumer Protection it is a good time to ensure that you have all the correct and current contact details should you need to make any enquiries to the Department.  </w:t>
            </w:r>
          </w:p>
          <w:p w:rsidR="0079126B" w:rsidRPr="00A26B90" w:rsidRDefault="0079126B" w:rsidP="0079126B">
            <w:pPr>
              <w:pStyle w:val="ListParagraph"/>
              <w:rPr>
                <w:rFonts w:ascii="Arial" w:hAnsi="Arial" w:cs="Arial"/>
                <w:color w:val="545255"/>
                <w:sz w:val="20"/>
                <w:szCs w:val="20"/>
              </w:rPr>
            </w:pPr>
          </w:p>
          <w:p w:rsidR="0079126B" w:rsidRPr="00A26B90" w:rsidRDefault="0079126B" w:rsidP="0079126B">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According to Energy</w:t>
            </w:r>
            <w:r w:rsidR="00A26B90">
              <w:rPr>
                <w:rFonts w:ascii="Arial" w:hAnsi="Arial" w:cs="Arial"/>
                <w:color w:val="545255"/>
                <w:sz w:val="20"/>
                <w:szCs w:val="20"/>
              </w:rPr>
              <w:t xml:space="preserve"> </w:t>
            </w:r>
            <w:r w:rsidRPr="00A26B90">
              <w:rPr>
                <w:rFonts w:ascii="Arial" w:hAnsi="Arial" w:cs="Arial"/>
                <w:color w:val="545255"/>
                <w:sz w:val="20"/>
                <w:szCs w:val="20"/>
              </w:rPr>
              <w:t>Safety, 23 of the 29 people who have died as a result of electrocution in the past 17 years may have been saved if Residual Current Devices (RCDs) had been fitted to power and lighting circuits. Additionally, each year in Western Australia, structural fires result in injury and death as well as significant property damage.</w:t>
            </w:r>
          </w:p>
          <w:p w:rsidR="0079126B" w:rsidRPr="00A26B90" w:rsidRDefault="0079126B" w:rsidP="0079126B">
            <w:pPr>
              <w:pStyle w:val="ListParagraph"/>
              <w:rPr>
                <w:rFonts w:ascii="Arial" w:hAnsi="Arial" w:cs="Arial"/>
                <w:color w:val="545255"/>
                <w:sz w:val="20"/>
                <w:szCs w:val="20"/>
              </w:rPr>
            </w:pPr>
          </w:p>
          <w:p w:rsidR="0079126B" w:rsidRPr="00A26B90" w:rsidRDefault="0079126B" w:rsidP="00A26B90">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 xml:space="preserve">The </w:t>
            </w:r>
            <w:r w:rsidRPr="00A26B90">
              <w:rPr>
                <w:rFonts w:ascii="Arial" w:hAnsi="Arial" w:cs="Arial"/>
                <w:i/>
                <w:iCs/>
                <w:color w:val="545255"/>
                <w:sz w:val="20"/>
                <w:szCs w:val="20"/>
              </w:rPr>
              <w:t xml:space="preserve">Competition and Consumer Act 2010 </w:t>
            </w:r>
            <w:r w:rsidRPr="00A26B90">
              <w:rPr>
                <w:rFonts w:ascii="Arial" w:hAnsi="Arial" w:cs="Arial"/>
                <w:color w:val="545255"/>
                <w:sz w:val="20"/>
                <w:szCs w:val="20"/>
              </w:rPr>
              <w:t>(the Act) is the pie</w:t>
            </w:r>
            <w:r w:rsidR="00A26B90" w:rsidRPr="00A26B90">
              <w:rPr>
                <w:rFonts w:ascii="Arial" w:hAnsi="Arial" w:cs="Arial"/>
                <w:color w:val="545255"/>
                <w:sz w:val="20"/>
                <w:szCs w:val="20"/>
              </w:rPr>
              <w:t xml:space="preserve">ce of legislation that dictates </w:t>
            </w:r>
            <w:r w:rsidRPr="00A26B90">
              <w:rPr>
                <w:rFonts w:ascii="Arial" w:hAnsi="Arial" w:cs="Arial"/>
                <w:color w:val="545255"/>
                <w:sz w:val="20"/>
                <w:szCs w:val="20"/>
              </w:rPr>
              <w:t>how businesses must undertake dealings both between themselves, and also with consumers.</w:t>
            </w:r>
            <w:r w:rsidR="00A26B90" w:rsidRPr="00A26B90">
              <w:rPr>
                <w:rFonts w:ascii="Arial" w:hAnsi="Arial" w:cs="Arial"/>
                <w:color w:val="545255"/>
                <w:sz w:val="20"/>
                <w:szCs w:val="20"/>
              </w:rPr>
              <w:t xml:space="preserve">  </w:t>
            </w:r>
            <w:r w:rsidRPr="00A26B90">
              <w:rPr>
                <w:rFonts w:ascii="Arial" w:hAnsi="Arial" w:cs="Arial"/>
                <w:color w:val="545255"/>
                <w:sz w:val="20"/>
                <w:szCs w:val="20"/>
              </w:rPr>
              <w:t>The Australian Consumer Law (ACL) is a schedule to the Act and creates a single, nationa</w:t>
            </w:r>
            <w:r w:rsidR="00A26B90" w:rsidRPr="00A26B90">
              <w:rPr>
                <w:rFonts w:ascii="Arial" w:hAnsi="Arial" w:cs="Arial"/>
                <w:color w:val="545255"/>
                <w:sz w:val="20"/>
                <w:szCs w:val="20"/>
              </w:rPr>
              <w:t xml:space="preserve">l </w:t>
            </w:r>
            <w:r w:rsidRPr="00A26B90">
              <w:rPr>
                <w:rFonts w:ascii="Arial" w:hAnsi="Arial" w:cs="Arial"/>
                <w:color w:val="545255"/>
                <w:sz w:val="20"/>
                <w:szCs w:val="20"/>
              </w:rPr>
              <w:t xml:space="preserve">consumer law that applies nationally. The </w:t>
            </w:r>
            <w:r w:rsidRPr="00A26B90">
              <w:rPr>
                <w:rFonts w:ascii="Arial" w:hAnsi="Arial" w:cs="Arial"/>
                <w:i/>
                <w:iCs/>
                <w:color w:val="545255"/>
                <w:sz w:val="20"/>
                <w:szCs w:val="20"/>
              </w:rPr>
              <w:t xml:space="preserve">Fair Trading Act 2010 </w:t>
            </w:r>
            <w:r w:rsidRPr="00A26B90">
              <w:rPr>
                <w:rFonts w:ascii="Arial" w:hAnsi="Arial" w:cs="Arial"/>
                <w:color w:val="545255"/>
                <w:sz w:val="20"/>
                <w:szCs w:val="20"/>
              </w:rPr>
              <w:t>also references and applies the ACL as WA Law.</w:t>
            </w:r>
          </w:p>
          <w:p w:rsidR="00A26B90" w:rsidRPr="00A26B90" w:rsidRDefault="00A26B90" w:rsidP="00A26B90">
            <w:pPr>
              <w:pStyle w:val="ListParagraph"/>
              <w:rPr>
                <w:rFonts w:ascii="Arial" w:hAnsi="Arial" w:cs="Arial"/>
                <w:color w:val="545255"/>
                <w:sz w:val="20"/>
                <w:szCs w:val="20"/>
              </w:rPr>
            </w:pPr>
          </w:p>
          <w:p w:rsidR="00A26B90" w:rsidRPr="00A26B90" w:rsidRDefault="00A26B90" w:rsidP="00A26B90">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In April 2009</w:t>
            </w:r>
            <w:r>
              <w:rPr>
                <w:rFonts w:ascii="Arial" w:hAnsi="Arial" w:cs="Arial"/>
                <w:color w:val="545255"/>
                <w:sz w:val="20"/>
                <w:szCs w:val="20"/>
              </w:rPr>
              <w:t>,</w:t>
            </w:r>
            <w:r w:rsidRPr="00A26B90">
              <w:rPr>
                <w:rFonts w:ascii="Arial" w:hAnsi="Arial" w:cs="Arial"/>
                <w:color w:val="545255"/>
                <w:sz w:val="20"/>
                <w:szCs w:val="20"/>
              </w:rPr>
              <w:t xml:space="preserve"> the Council of Australian Governments agreed to establish a national occupational licensing system for specified occupations, including the property industry, in order to streamline regulation across states. The proposed system is intended to result in a number of benefits, including improved business efficiency, productivity, and consumer confidence, while also improving labour mobility.</w:t>
            </w:r>
          </w:p>
          <w:p w:rsidR="00A26B90" w:rsidRDefault="00A26B90" w:rsidP="00A26B90">
            <w:pPr>
              <w:pStyle w:val="ListParagraph"/>
              <w:jc w:val="both"/>
              <w:rPr>
                <w:rFonts w:ascii="Arial" w:hAnsi="Arial" w:cs="Arial"/>
                <w:color w:val="545255"/>
                <w:sz w:val="20"/>
                <w:szCs w:val="20"/>
              </w:rPr>
            </w:pPr>
          </w:p>
          <w:p w:rsidR="00E830B2" w:rsidRPr="00A26B90" w:rsidRDefault="00E830B2" w:rsidP="00A26B90">
            <w:pPr>
              <w:pStyle w:val="ListParagraph"/>
              <w:jc w:val="both"/>
              <w:rPr>
                <w:rFonts w:ascii="Arial" w:hAnsi="Arial" w:cs="Arial"/>
                <w:color w:val="545255"/>
                <w:sz w:val="20"/>
                <w:szCs w:val="20"/>
              </w:rPr>
            </w:pPr>
          </w:p>
          <w:p w:rsidR="00A26B90" w:rsidRPr="00A26B90" w:rsidRDefault="00A26B90" w:rsidP="00A26B90">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Following on from the recent property fraud scams regarding the sale of a property without the knowledge of the owner, Consumer Protection, AICWA Landgate and REIWA have been working together to define additional practices that need to be introduced in the industry to minimise the likelihood of property fraud in the future.</w:t>
            </w:r>
          </w:p>
          <w:p w:rsidR="00A26B90" w:rsidRPr="00A26B90" w:rsidRDefault="00A26B90" w:rsidP="00A26B90">
            <w:pPr>
              <w:pStyle w:val="ListParagraph"/>
              <w:rPr>
                <w:rFonts w:ascii="Arial" w:hAnsi="Arial" w:cs="Arial"/>
                <w:color w:val="545255"/>
                <w:sz w:val="20"/>
                <w:szCs w:val="20"/>
              </w:rPr>
            </w:pPr>
          </w:p>
          <w:p w:rsidR="0079126B" w:rsidRPr="00A26B90" w:rsidRDefault="00A26B90" w:rsidP="00A26B90">
            <w:pPr>
              <w:pStyle w:val="ListParagraph"/>
              <w:numPr>
                <w:ilvl w:val="0"/>
                <w:numId w:val="22"/>
              </w:numPr>
              <w:autoSpaceDE w:val="0"/>
              <w:autoSpaceDN w:val="0"/>
              <w:adjustRightInd w:val="0"/>
              <w:ind w:left="376"/>
              <w:jc w:val="both"/>
              <w:rPr>
                <w:rFonts w:ascii="Arial" w:hAnsi="Arial" w:cs="Arial"/>
                <w:color w:val="545255"/>
                <w:sz w:val="20"/>
                <w:szCs w:val="20"/>
              </w:rPr>
            </w:pPr>
            <w:r w:rsidRPr="00A26B90">
              <w:rPr>
                <w:rFonts w:ascii="Arial" w:hAnsi="Arial" w:cs="Arial"/>
                <w:color w:val="545255"/>
                <w:sz w:val="20"/>
                <w:szCs w:val="20"/>
              </w:rPr>
              <w:t>National E-Conveyancing Development Limited (NECDL), the company charged with developing a national electronic system for property exchange, has signed an agreement with technology consulting company Accenture to design and build a national e-conveyancing platform for Australia.</w:t>
            </w:r>
          </w:p>
          <w:p w:rsidR="00936D49" w:rsidRPr="00D2171D" w:rsidRDefault="00936D49" w:rsidP="00A26B90">
            <w:pPr>
              <w:pStyle w:val="ListParagraph"/>
              <w:ind w:left="376"/>
              <w:rPr>
                <w:rFonts w:ascii="Arial" w:hAnsi="Arial" w:cs="Arial"/>
                <w:sz w:val="20"/>
                <w:szCs w:val="20"/>
              </w:rPr>
            </w:pPr>
          </w:p>
        </w:tc>
      </w:tr>
    </w:tbl>
    <w:p w:rsidR="00215674" w:rsidRDefault="00215674" w:rsidP="00C56627"/>
    <w:p w:rsidR="0079126B" w:rsidRPr="0079126B" w:rsidRDefault="0079126B" w:rsidP="0079126B"/>
    <w:p w:rsidR="0079126B" w:rsidRDefault="0079126B"/>
    <w:sectPr w:rsidR="0079126B" w:rsidSect="00542C5F">
      <w:footerReference w:type="default" r:id="rId10"/>
      <w:pgSz w:w="16838" w:h="11906" w:orient="landscape"/>
      <w:pgMar w:top="851" w:right="1440" w:bottom="567" w:left="144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39" w:rsidRDefault="00D52739" w:rsidP="00E62D53">
      <w:pPr>
        <w:spacing w:after="0" w:line="240" w:lineRule="auto"/>
      </w:pPr>
      <w:r>
        <w:separator/>
      </w:r>
    </w:p>
  </w:endnote>
  <w:endnote w:type="continuationSeparator" w:id="0">
    <w:p w:rsidR="00D52739" w:rsidRDefault="00D52739" w:rsidP="00E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Medium">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89508"/>
      <w:docPartObj>
        <w:docPartGallery w:val="Page Numbers (Bottom of Page)"/>
        <w:docPartUnique/>
      </w:docPartObj>
    </w:sdtPr>
    <w:sdtEndPr/>
    <w:sdtContent>
      <w:sdt>
        <w:sdtPr>
          <w:id w:val="312304488"/>
          <w:docPartObj>
            <w:docPartGallery w:val="Page Numbers (Top of Page)"/>
            <w:docPartUnique/>
          </w:docPartObj>
        </w:sdtPr>
        <w:sdtEndPr/>
        <w:sdtContent>
          <w:p w:rsidR="00F36E05" w:rsidRDefault="00F36E05">
            <w:pPr>
              <w:pStyle w:val="Footer"/>
              <w:jc w:val="right"/>
            </w:pPr>
          </w:p>
          <w:p w:rsidR="00E62D53" w:rsidRDefault="00E62D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0A0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A05">
              <w:rPr>
                <w:b/>
                <w:bCs/>
                <w:noProof/>
              </w:rPr>
              <w:t>9</w:t>
            </w:r>
            <w:r>
              <w:rPr>
                <w:b/>
                <w:bCs/>
                <w:sz w:val="24"/>
                <w:szCs w:val="24"/>
              </w:rPr>
              <w:fldChar w:fldCharType="end"/>
            </w:r>
          </w:p>
        </w:sdtContent>
      </w:sdt>
    </w:sdtContent>
  </w:sdt>
  <w:p w:rsidR="00E62D53" w:rsidRDefault="00E6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39" w:rsidRDefault="00D52739" w:rsidP="00E62D53">
      <w:pPr>
        <w:spacing w:after="0" w:line="240" w:lineRule="auto"/>
      </w:pPr>
      <w:r>
        <w:separator/>
      </w:r>
    </w:p>
  </w:footnote>
  <w:footnote w:type="continuationSeparator" w:id="0">
    <w:p w:rsidR="00D52739" w:rsidRDefault="00D52739" w:rsidP="00E6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892"/>
    <w:multiLevelType w:val="hybridMultilevel"/>
    <w:tmpl w:val="6A9A0234"/>
    <w:lvl w:ilvl="0" w:tplc="4830A9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332AB"/>
    <w:multiLevelType w:val="hybridMultilevel"/>
    <w:tmpl w:val="9192F0C0"/>
    <w:lvl w:ilvl="0" w:tplc="082A87F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45426"/>
    <w:multiLevelType w:val="hybridMultilevel"/>
    <w:tmpl w:val="B76063EA"/>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9C69BB"/>
    <w:multiLevelType w:val="hybridMultilevel"/>
    <w:tmpl w:val="44AE2F70"/>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C356B9"/>
    <w:multiLevelType w:val="hybridMultilevel"/>
    <w:tmpl w:val="A36609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6A748A"/>
    <w:multiLevelType w:val="hybridMultilevel"/>
    <w:tmpl w:val="77AC94C2"/>
    <w:lvl w:ilvl="0" w:tplc="4830A9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661C19"/>
    <w:multiLevelType w:val="hybridMultilevel"/>
    <w:tmpl w:val="21EE2E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D867C6"/>
    <w:multiLevelType w:val="hybridMultilevel"/>
    <w:tmpl w:val="D1B6C9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8D5411"/>
    <w:multiLevelType w:val="hybridMultilevel"/>
    <w:tmpl w:val="4AE8F2D8"/>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944971"/>
    <w:multiLevelType w:val="hybridMultilevel"/>
    <w:tmpl w:val="E06A0678"/>
    <w:lvl w:ilvl="0" w:tplc="0C090011">
      <w:start w:val="1"/>
      <w:numFmt w:val="decimal"/>
      <w:lvlText w:val="%1)"/>
      <w:lvlJc w:val="left"/>
      <w:pPr>
        <w:ind w:left="782"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0">
    <w:nsid w:val="31CA4106"/>
    <w:multiLevelType w:val="hybridMultilevel"/>
    <w:tmpl w:val="9A74F440"/>
    <w:lvl w:ilvl="0" w:tplc="0C090011">
      <w:start w:val="1"/>
      <w:numFmt w:val="decimal"/>
      <w:lvlText w:val="%1)"/>
      <w:lvlJc w:val="left"/>
      <w:pPr>
        <w:ind w:left="1096" w:hanging="360"/>
      </w:pPr>
    </w:lvl>
    <w:lvl w:ilvl="1" w:tplc="0C090019" w:tentative="1">
      <w:start w:val="1"/>
      <w:numFmt w:val="lowerLetter"/>
      <w:lvlText w:val="%2."/>
      <w:lvlJc w:val="left"/>
      <w:pPr>
        <w:ind w:left="1816" w:hanging="360"/>
      </w:pPr>
    </w:lvl>
    <w:lvl w:ilvl="2" w:tplc="0C09001B" w:tentative="1">
      <w:start w:val="1"/>
      <w:numFmt w:val="lowerRoman"/>
      <w:lvlText w:val="%3."/>
      <w:lvlJc w:val="right"/>
      <w:pPr>
        <w:ind w:left="2536" w:hanging="180"/>
      </w:pPr>
    </w:lvl>
    <w:lvl w:ilvl="3" w:tplc="0C09000F" w:tentative="1">
      <w:start w:val="1"/>
      <w:numFmt w:val="decimal"/>
      <w:lvlText w:val="%4."/>
      <w:lvlJc w:val="left"/>
      <w:pPr>
        <w:ind w:left="3256" w:hanging="360"/>
      </w:pPr>
    </w:lvl>
    <w:lvl w:ilvl="4" w:tplc="0C090019" w:tentative="1">
      <w:start w:val="1"/>
      <w:numFmt w:val="lowerLetter"/>
      <w:lvlText w:val="%5."/>
      <w:lvlJc w:val="left"/>
      <w:pPr>
        <w:ind w:left="3976" w:hanging="360"/>
      </w:pPr>
    </w:lvl>
    <w:lvl w:ilvl="5" w:tplc="0C09001B" w:tentative="1">
      <w:start w:val="1"/>
      <w:numFmt w:val="lowerRoman"/>
      <w:lvlText w:val="%6."/>
      <w:lvlJc w:val="right"/>
      <w:pPr>
        <w:ind w:left="4696" w:hanging="180"/>
      </w:pPr>
    </w:lvl>
    <w:lvl w:ilvl="6" w:tplc="0C09000F" w:tentative="1">
      <w:start w:val="1"/>
      <w:numFmt w:val="decimal"/>
      <w:lvlText w:val="%7."/>
      <w:lvlJc w:val="left"/>
      <w:pPr>
        <w:ind w:left="5416" w:hanging="360"/>
      </w:pPr>
    </w:lvl>
    <w:lvl w:ilvl="7" w:tplc="0C090019" w:tentative="1">
      <w:start w:val="1"/>
      <w:numFmt w:val="lowerLetter"/>
      <w:lvlText w:val="%8."/>
      <w:lvlJc w:val="left"/>
      <w:pPr>
        <w:ind w:left="6136" w:hanging="360"/>
      </w:pPr>
    </w:lvl>
    <w:lvl w:ilvl="8" w:tplc="0C09001B" w:tentative="1">
      <w:start w:val="1"/>
      <w:numFmt w:val="lowerRoman"/>
      <w:lvlText w:val="%9."/>
      <w:lvlJc w:val="right"/>
      <w:pPr>
        <w:ind w:left="6856" w:hanging="180"/>
      </w:pPr>
    </w:lvl>
  </w:abstractNum>
  <w:abstractNum w:abstractNumId="11">
    <w:nsid w:val="35D8687A"/>
    <w:multiLevelType w:val="hybridMultilevel"/>
    <w:tmpl w:val="60089B72"/>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A21184"/>
    <w:multiLevelType w:val="hybridMultilevel"/>
    <w:tmpl w:val="9B08ED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BC0507"/>
    <w:multiLevelType w:val="hybridMultilevel"/>
    <w:tmpl w:val="1006F5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2C33F0"/>
    <w:multiLevelType w:val="hybridMultilevel"/>
    <w:tmpl w:val="8FD41F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AD563A"/>
    <w:multiLevelType w:val="hybridMultilevel"/>
    <w:tmpl w:val="E4B8FB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712F6"/>
    <w:multiLevelType w:val="hybridMultilevel"/>
    <w:tmpl w:val="FB4296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8B6B63"/>
    <w:multiLevelType w:val="hybridMultilevel"/>
    <w:tmpl w:val="3F6678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837454"/>
    <w:multiLevelType w:val="hybridMultilevel"/>
    <w:tmpl w:val="9A5C6226"/>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822A64"/>
    <w:multiLevelType w:val="hybridMultilevel"/>
    <w:tmpl w:val="BC4C4618"/>
    <w:lvl w:ilvl="0" w:tplc="0C090011">
      <w:start w:val="1"/>
      <w:numFmt w:val="decimal"/>
      <w:lvlText w:val="%1)"/>
      <w:lvlJc w:val="left"/>
      <w:pPr>
        <w:ind w:left="360"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20">
    <w:nsid w:val="5F6615B8"/>
    <w:multiLevelType w:val="hybridMultilevel"/>
    <w:tmpl w:val="5A40B23E"/>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941863"/>
    <w:multiLevelType w:val="hybridMultilevel"/>
    <w:tmpl w:val="ED6E19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0E287D"/>
    <w:multiLevelType w:val="hybridMultilevel"/>
    <w:tmpl w:val="9A5C6226"/>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0C3007"/>
    <w:multiLevelType w:val="hybridMultilevel"/>
    <w:tmpl w:val="6BF65F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595D4B"/>
    <w:multiLevelType w:val="hybridMultilevel"/>
    <w:tmpl w:val="171C0180"/>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C07160"/>
    <w:multiLevelType w:val="hybridMultilevel"/>
    <w:tmpl w:val="34342A42"/>
    <w:lvl w:ilvl="0" w:tplc="B7B049B4">
      <w:start w:val="2"/>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6">
    <w:nsid w:val="7BC876EC"/>
    <w:multiLevelType w:val="hybridMultilevel"/>
    <w:tmpl w:val="B94ADE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F754D2"/>
    <w:multiLevelType w:val="hybridMultilevel"/>
    <w:tmpl w:val="60089B72"/>
    <w:lvl w:ilvl="0" w:tplc="56EE65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4569E7"/>
    <w:multiLevelType w:val="hybridMultilevel"/>
    <w:tmpl w:val="5F2C8C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19"/>
  </w:num>
  <w:num w:numId="5">
    <w:abstractNumId w:val="5"/>
  </w:num>
  <w:num w:numId="6">
    <w:abstractNumId w:val="25"/>
  </w:num>
  <w:num w:numId="7">
    <w:abstractNumId w:val="0"/>
  </w:num>
  <w:num w:numId="8">
    <w:abstractNumId w:val="23"/>
  </w:num>
  <w:num w:numId="9">
    <w:abstractNumId w:val="15"/>
  </w:num>
  <w:num w:numId="10">
    <w:abstractNumId w:val="1"/>
  </w:num>
  <w:num w:numId="11">
    <w:abstractNumId w:val="2"/>
  </w:num>
  <w:num w:numId="12">
    <w:abstractNumId w:val="3"/>
  </w:num>
  <w:num w:numId="13">
    <w:abstractNumId w:val="6"/>
  </w:num>
  <w:num w:numId="14">
    <w:abstractNumId w:val="13"/>
  </w:num>
  <w:num w:numId="15">
    <w:abstractNumId w:val="8"/>
  </w:num>
  <w:num w:numId="16">
    <w:abstractNumId w:val="18"/>
  </w:num>
  <w:num w:numId="17">
    <w:abstractNumId w:val="22"/>
  </w:num>
  <w:num w:numId="18">
    <w:abstractNumId w:val="27"/>
  </w:num>
  <w:num w:numId="19">
    <w:abstractNumId w:val="11"/>
  </w:num>
  <w:num w:numId="20">
    <w:abstractNumId w:val="24"/>
  </w:num>
  <w:num w:numId="21">
    <w:abstractNumId w:val="28"/>
  </w:num>
  <w:num w:numId="22">
    <w:abstractNumId w:val="17"/>
  </w:num>
  <w:num w:numId="23">
    <w:abstractNumId w:val="10"/>
  </w:num>
  <w:num w:numId="24">
    <w:abstractNumId w:val="26"/>
  </w:num>
  <w:num w:numId="25">
    <w:abstractNumId w:val="7"/>
  </w:num>
  <w:num w:numId="26">
    <w:abstractNumId w:val="4"/>
  </w:num>
  <w:num w:numId="27">
    <w:abstractNumId w:val="16"/>
  </w:num>
  <w:num w:numId="28">
    <w:abstractNumId w:val="14"/>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9"/>
    <w:rsid w:val="00072350"/>
    <w:rsid w:val="0007660B"/>
    <w:rsid w:val="0009584F"/>
    <w:rsid w:val="00097D49"/>
    <w:rsid w:val="000A5F9A"/>
    <w:rsid w:val="000B0F5D"/>
    <w:rsid w:val="000F050A"/>
    <w:rsid w:val="00127578"/>
    <w:rsid w:val="00147630"/>
    <w:rsid w:val="00164B2D"/>
    <w:rsid w:val="00173366"/>
    <w:rsid w:val="0018296B"/>
    <w:rsid w:val="001D7331"/>
    <w:rsid w:val="001E330D"/>
    <w:rsid w:val="00215674"/>
    <w:rsid w:val="002237EF"/>
    <w:rsid w:val="00246EB4"/>
    <w:rsid w:val="0025137B"/>
    <w:rsid w:val="002811BB"/>
    <w:rsid w:val="002B5EFB"/>
    <w:rsid w:val="00302949"/>
    <w:rsid w:val="00304C70"/>
    <w:rsid w:val="00316225"/>
    <w:rsid w:val="00374208"/>
    <w:rsid w:val="003A64B2"/>
    <w:rsid w:val="003F065D"/>
    <w:rsid w:val="00412E13"/>
    <w:rsid w:val="0041466A"/>
    <w:rsid w:val="00416AD9"/>
    <w:rsid w:val="0042413C"/>
    <w:rsid w:val="004251D5"/>
    <w:rsid w:val="00473D30"/>
    <w:rsid w:val="004C0A05"/>
    <w:rsid w:val="00520C2F"/>
    <w:rsid w:val="0053210A"/>
    <w:rsid w:val="00536A1B"/>
    <w:rsid w:val="00542C5F"/>
    <w:rsid w:val="005711B3"/>
    <w:rsid w:val="005C34CD"/>
    <w:rsid w:val="005D2D78"/>
    <w:rsid w:val="00647FDD"/>
    <w:rsid w:val="00671F6A"/>
    <w:rsid w:val="006F62E5"/>
    <w:rsid w:val="00707CA6"/>
    <w:rsid w:val="00713EE5"/>
    <w:rsid w:val="00720EE0"/>
    <w:rsid w:val="00745A89"/>
    <w:rsid w:val="00751F1A"/>
    <w:rsid w:val="00790A42"/>
    <w:rsid w:val="0079126B"/>
    <w:rsid w:val="007A3D45"/>
    <w:rsid w:val="008215DD"/>
    <w:rsid w:val="00841492"/>
    <w:rsid w:val="00842B1D"/>
    <w:rsid w:val="008F5AD7"/>
    <w:rsid w:val="00901581"/>
    <w:rsid w:val="009332C3"/>
    <w:rsid w:val="00936D49"/>
    <w:rsid w:val="0095306C"/>
    <w:rsid w:val="009E1F24"/>
    <w:rsid w:val="009F7E68"/>
    <w:rsid w:val="00A21C51"/>
    <w:rsid w:val="00A26B90"/>
    <w:rsid w:val="00A4376C"/>
    <w:rsid w:val="00A455E7"/>
    <w:rsid w:val="00A50069"/>
    <w:rsid w:val="00A725BD"/>
    <w:rsid w:val="00A838A9"/>
    <w:rsid w:val="00A9475D"/>
    <w:rsid w:val="00AD7E16"/>
    <w:rsid w:val="00AF6637"/>
    <w:rsid w:val="00AF7FE2"/>
    <w:rsid w:val="00B05175"/>
    <w:rsid w:val="00B165DC"/>
    <w:rsid w:val="00B37EF0"/>
    <w:rsid w:val="00B75B07"/>
    <w:rsid w:val="00B77E28"/>
    <w:rsid w:val="00B87C0D"/>
    <w:rsid w:val="00C00551"/>
    <w:rsid w:val="00C06515"/>
    <w:rsid w:val="00C56627"/>
    <w:rsid w:val="00CA5C35"/>
    <w:rsid w:val="00CF1450"/>
    <w:rsid w:val="00D06FF8"/>
    <w:rsid w:val="00D2171D"/>
    <w:rsid w:val="00D21736"/>
    <w:rsid w:val="00D37B66"/>
    <w:rsid w:val="00D46D44"/>
    <w:rsid w:val="00D479FD"/>
    <w:rsid w:val="00D52739"/>
    <w:rsid w:val="00D60498"/>
    <w:rsid w:val="00DC1A90"/>
    <w:rsid w:val="00DE64A1"/>
    <w:rsid w:val="00E10F5D"/>
    <w:rsid w:val="00E4132D"/>
    <w:rsid w:val="00E62D53"/>
    <w:rsid w:val="00E63FD7"/>
    <w:rsid w:val="00E830B2"/>
    <w:rsid w:val="00E9542E"/>
    <w:rsid w:val="00EB4D2A"/>
    <w:rsid w:val="00F240BB"/>
    <w:rsid w:val="00F36E05"/>
    <w:rsid w:val="00F92518"/>
    <w:rsid w:val="00FC2621"/>
    <w:rsid w:val="00FF2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C6"/>
  </w:style>
  <w:style w:type="paragraph" w:styleId="Heading1">
    <w:name w:val="heading 1"/>
    <w:basedOn w:val="Normal"/>
    <w:next w:val="Normal"/>
    <w:link w:val="Heading1Char"/>
    <w:uiPriority w:val="9"/>
    <w:qFormat/>
    <w:rsid w:val="00A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37B"/>
    <w:pPr>
      <w:ind w:left="720"/>
      <w:contextualSpacing/>
    </w:pPr>
  </w:style>
  <w:style w:type="table" w:customStyle="1" w:styleId="TableGrid1">
    <w:name w:val="Table Grid1"/>
    <w:basedOn w:val="TableNormal"/>
    <w:next w:val="TableGrid"/>
    <w:uiPriority w:val="59"/>
    <w:rsid w:val="00E6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3"/>
  </w:style>
  <w:style w:type="paragraph" w:styleId="Footer">
    <w:name w:val="footer"/>
    <w:basedOn w:val="Normal"/>
    <w:link w:val="FooterChar"/>
    <w:uiPriority w:val="99"/>
    <w:unhideWhenUsed/>
    <w:rsid w:val="00E6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3"/>
  </w:style>
  <w:style w:type="paragraph" w:styleId="BalloonText">
    <w:name w:val="Balloon Text"/>
    <w:basedOn w:val="Normal"/>
    <w:link w:val="BalloonTextChar"/>
    <w:uiPriority w:val="99"/>
    <w:semiHidden/>
    <w:unhideWhenUsed/>
    <w:rsid w:val="0054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5F"/>
    <w:rPr>
      <w:rFonts w:ascii="Tahoma" w:hAnsi="Tahoma" w:cs="Tahoma"/>
      <w:sz w:val="16"/>
      <w:szCs w:val="16"/>
    </w:rPr>
  </w:style>
  <w:style w:type="paragraph" w:styleId="NoSpacing">
    <w:name w:val="No Spacing"/>
    <w:uiPriority w:val="1"/>
    <w:qFormat/>
    <w:rsid w:val="00A725BD"/>
    <w:pPr>
      <w:spacing w:after="0" w:line="240" w:lineRule="auto"/>
    </w:pPr>
  </w:style>
  <w:style w:type="character" w:customStyle="1" w:styleId="Heading1Char">
    <w:name w:val="Heading 1 Char"/>
    <w:basedOn w:val="DefaultParagraphFont"/>
    <w:link w:val="Heading1"/>
    <w:uiPriority w:val="9"/>
    <w:rsid w:val="00A72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5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1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C6"/>
  </w:style>
  <w:style w:type="paragraph" w:styleId="Heading1">
    <w:name w:val="heading 1"/>
    <w:basedOn w:val="Normal"/>
    <w:next w:val="Normal"/>
    <w:link w:val="Heading1Char"/>
    <w:uiPriority w:val="9"/>
    <w:qFormat/>
    <w:rsid w:val="00A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37B"/>
    <w:pPr>
      <w:ind w:left="720"/>
      <w:contextualSpacing/>
    </w:pPr>
  </w:style>
  <w:style w:type="table" w:customStyle="1" w:styleId="TableGrid1">
    <w:name w:val="Table Grid1"/>
    <w:basedOn w:val="TableNormal"/>
    <w:next w:val="TableGrid"/>
    <w:uiPriority w:val="59"/>
    <w:rsid w:val="00E62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3"/>
  </w:style>
  <w:style w:type="paragraph" w:styleId="Footer">
    <w:name w:val="footer"/>
    <w:basedOn w:val="Normal"/>
    <w:link w:val="FooterChar"/>
    <w:uiPriority w:val="99"/>
    <w:unhideWhenUsed/>
    <w:rsid w:val="00E6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3"/>
  </w:style>
  <w:style w:type="paragraph" w:styleId="BalloonText">
    <w:name w:val="Balloon Text"/>
    <w:basedOn w:val="Normal"/>
    <w:link w:val="BalloonTextChar"/>
    <w:uiPriority w:val="99"/>
    <w:semiHidden/>
    <w:unhideWhenUsed/>
    <w:rsid w:val="0054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5F"/>
    <w:rPr>
      <w:rFonts w:ascii="Tahoma" w:hAnsi="Tahoma" w:cs="Tahoma"/>
      <w:sz w:val="16"/>
      <w:szCs w:val="16"/>
    </w:rPr>
  </w:style>
  <w:style w:type="paragraph" w:styleId="NoSpacing">
    <w:name w:val="No Spacing"/>
    <w:uiPriority w:val="1"/>
    <w:qFormat/>
    <w:rsid w:val="00A725BD"/>
    <w:pPr>
      <w:spacing w:after="0" w:line="240" w:lineRule="auto"/>
    </w:pPr>
  </w:style>
  <w:style w:type="character" w:customStyle="1" w:styleId="Heading1Char">
    <w:name w:val="Heading 1 Char"/>
    <w:basedOn w:val="DefaultParagraphFont"/>
    <w:link w:val="Heading1"/>
    <w:uiPriority w:val="9"/>
    <w:rsid w:val="00A72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5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1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ndg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5A48-C2AF-4204-A9BB-DE51770F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Cormack</dc:creator>
  <cp:lastModifiedBy>Heather Cormack</cp:lastModifiedBy>
  <cp:revision>3</cp:revision>
  <cp:lastPrinted>2014-01-17T06:13:00Z</cp:lastPrinted>
  <dcterms:created xsi:type="dcterms:W3CDTF">2014-05-20T05:27:00Z</dcterms:created>
  <dcterms:modified xsi:type="dcterms:W3CDTF">2014-05-20T05:29:00Z</dcterms:modified>
</cp:coreProperties>
</file>